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35" w:rsidRPr="00B87835" w:rsidRDefault="00B87835" w:rsidP="00B87835">
      <w:pPr>
        <w:spacing w:before="100" w:beforeAutospacing="1" w:after="100" w:afterAutospacing="1" w:line="240" w:lineRule="auto"/>
        <w:jc w:val="center"/>
        <w:rPr>
          <w:rFonts w:ascii="Arial" w:eastAsia="Times New Roman" w:hAnsi="Arial" w:cs="Arial"/>
          <w:b/>
          <w:bCs/>
          <w:color w:val="000080"/>
          <w:sz w:val="24"/>
          <w:szCs w:val="24"/>
          <w:lang w:val="ru-RU" w:eastAsia="ru-RU" w:bidi="ar-SA"/>
        </w:rPr>
      </w:pPr>
      <w:r w:rsidRPr="00B87835">
        <w:rPr>
          <w:rFonts w:ascii="Arial" w:eastAsia="Times New Roman" w:hAnsi="Arial" w:cs="Arial"/>
          <w:b/>
          <w:bCs/>
          <w:color w:val="000080"/>
          <w:sz w:val="24"/>
          <w:szCs w:val="24"/>
          <w:lang w:val="ru-RU" w:eastAsia="ru-RU" w:bidi="ar-SA"/>
        </w:rPr>
        <w:t>Постановление Главного государственного санитарного врача РФ</w:t>
      </w:r>
      <w:r w:rsidRPr="00B87835">
        <w:rPr>
          <w:rFonts w:ascii="Arial" w:eastAsia="Times New Roman" w:hAnsi="Arial" w:cs="Arial"/>
          <w:b/>
          <w:bCs/>
          <w:color w:val="000080"/>
          <w:sz w:val="24"/>
          <w:szCs w:val="24"/>
          <w:lang w:val="ru-RU" w:eastAsia="ru-RU" w:bidi="ar-SA"/>
        </w:rPr>
        <w:br/>
        <w:t>от 3 июня 2003 г. N 118</w:t>
      </w:r>
      <w:r w:rsidRPr="00B87835">
        <w:rPr>
          <w:rFonts w:ascii="Arial" w:eastAsia="Times New Roman" w:hAnsi="Arial" w:cs="Arial"/>
          <w:b/>
          <w:bCs/>
          <w:color w:val="000080"/>
          <w:sz w:val="24"/>
          <w:szCs w:val="24"/>
          <w:lang w:val="ru-RU" w:eastAsia="ru-RU" w:bidi="ar-SA"/>
        </w:rPr>
        <w:br/>
        <w:t>"О введении в действие санитарно-эпидемиологических правил и нормативов</w:t>
      </w:r>
      <w:r w:rsidRPr="00B87835">
        <w:rPr>
          <w:rFonts w:ascii="Arial" w:eastAsia="Times New Roman" w:hAnsi="Arial" w:cs="Arial"/>
          <w:b/>
          <w:bCs/>
          <w:color w:val="000080"/>
          <w:sz w:val="24"/>
          <w:szCs w:val="24"/>
          <w:lang w:val="ru-RU" w:eastAsia="ru-RU" w:bidi="ar-SA"/>
        </w:rPr>
        <w:br/>
        <w:t>СанПиН 2.2.2/2.4.1340-03"</w:t>
      </w:r>
    </w:p>
    <w:p w:rsidR="00B87835" w:rsidRPr="00B87835" w:rsidRDefault="00B87835" w:rsidP="00B87835">
      <w:pPr>
        <w:shd w:val="clear" w:color="auto" w:fill="FFFFFF"/>
        <w:spacing w:after="0" w:line="240" w:lineRule="auto"/>
        <w:jc w:val="both"/>
        <w:outlineLvl w:val="3"/>
        <w:rPr>
          <w:rFonts w:ascii="Arial" w:eastAsia="Times New Roman" w:hAnsi="Arial" w:cs="Arial"/>
          <w:color w:val="000000"/>
          <w:sz w:val="24"/>
          <w:szCs w:val="24"/>
          <w:lang w:val="ru-RU" w:eastAsia="ru-RU" w:bidi="ar-SA"/>
        </w:rPr>
      </w:pPr>
      <w:r w:rsidRPr="00B87835">
        <w:rPr>
          <w:rFonts w:ascii="Arial" w:eastAsia="Times New Roman" w:hAnsi="Arial" w:cs="Arial"/>
          <w:color w:val="000000"/>
          <w:sz w:val="24"/>
          <w:szCs w:val="24"/>
          <w:lang w:val="ru-RU" w:eastAsia="ru-RU" w:bidi="ar-SA"/>
        </w:rPr>
        <w:t>С изменениями и дополнениями от:</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25 апреля 2007 г., 30 апреля, 3 сентября 2010 г.</w:t>
      </w:r>
    </w:p>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Arial" w:eastAsia="Times New Roman" w:hAnsi="Arial" w:cs="Arial"/>
          <w:color w:val="000000"/>
          <w:sz w:val="27"/>
          <w:szCs w:val="27"/>
          <w:lang w:val="ru-RU" w:eastAsia="ru-RU" w:bidi="ar-SA"/>
        </w:rPr>
        <w:br/>
      </w:r>
    </w:p>
    <w:p w:rsidR="00B87835" w:rsidRPr="00B87835" w:rsidRDefault="00B87835" w:rsidP="00B87835">
      <w:pPr>
        <w:spacing w:after="0" w:line="240" w:lineRule="auto"/>
        <w:ind w:firstLine="720"/>
        <w:rPr>
          <w:rFonts w:ascii="Arial" w:eastAsia="Times New Roman" w:hAnsi="Arial" w:cs="Arial"/>
          <w:color w:val="000000"/>
          <w:sz w:val="27"/>
          <w:szCs w:val="27"/>
          <w:lang w:val="ru-RU" w:eastAsia="ru-RU" w:bidi="ar-SA"/>
        </w:rPr>
      </w:pPr>
      <w:r w:rsidRPr="00B87835">
        <w:rPr>
          <w:rFonts w:ascii="Arial" w:eastAsia="Times New Roman" w:hAnsi="Arial" w:cs="Arial"/>
          <w:color w:val="000000"/>
          <w:sz w:val="27"/>
          <w:szCs w:val="27"/>
          <w:lang w:val="ru-RU" w:eastAsia="ru-RU" w:bidi="ar-SA"/>
        </w:rPr>
        <w:t>На основании</w:t>
      </w:r>
      <w:r w:rsidRPr="00B87835">
        <w:rPr>
          <w:rFonts w:ascii="Arial" w:eastAsia="Times New Roman" w:hAnsi="Arial" w:cs="Arial"/>
          <w:color w:val="000000"/>
          <w:sz w:val="27"/>
          <w:lang w:val="ru-RU" w:eastAsia="ru-RU" w:bidi="ar-SA"/>
        </w:rPr>
        <w:t> </w:t>
      </w:r>
      <w:hyperlink r:id="rId4" w:history="1">
        <w:r w:rsidRPr="00B87835">
          <w:rPr>
            <w:rFonts w:ascii="Arial" w:eastAsia="Times New Roman" w:hAnsi="Arial" w:cs="Arial"/>
            <w:color w:val="008000"/>
            <w:sz w:val="27"/>
            <w:lang w:val="ru-RU" w:eastAsia="ru-RU" w:bidi="ar-SA"/>
          </w:rPr>
          <w:t>Федерального закона</w:t>
        </w:r>
      </w:hyperlink>
      <w:r w:rsidRPr="00B87835">
        <w:rPr>
          <w:rFonts w:ascii="Arial" w:eastAsia="Times New Roman" w:hAnsi="Arial" w:cs="Arial"/>
          <w:color w:val="000000"/>
          <w:sz w:val="27"/>
          <w:lang w:val="ru-RU" w:eastAsia="ru-RU" w:bidi="ar-SA"/>
        </w:rPr>
        <w:t> </w:t>
      </w:r>
      <w:r w:rsidRPr="00B87835">
        <w:rPr>
          <w:rFonts w:ascii="Arial" w:eastAsia="Times New Roman" w:hAnsi="Arial" w:cs="Arial"/>
          <w:color w:val="000000"/>
          <w:sz w:val="27"/>
          <w:szCs w:val="27"/>
          <w:lang w:val="ru-RU" w:eastAsia="ru-RU" w:bidi="ar-SA"/>
        </w:rPr>
        <w:t>"О санитарно-эпидемиологическом благополучии населения" от 30 марта 1999 г. N 52-ФЗ (Собрание законодательства Российской Федерации, 1999, N 14, ст.1650) и</w:t>
      </w:r>
      <w:r w:rsidRPr="00B87835">
        <w:rPr>
          <w:rFonts w:ascii="Arial" w:eastAsia="Times New Roman" w:hAnsi="Arial" w:cs="Arial"/>
          <w:color w:val="000000"/>
          <w:sz w:val="27"/>
          <w:lang w:val="ru-RU" w:eastAsia="ru-RU" w:bidi="ar-SA"/>
        </w:rPr>
        <w:t> </w:t>
      </w:r>
      <w:hyperlink r:id="rId5" w:anchor="block_2000" w:history="1">
        <w:r w:rsidRPr="00B87835">
          <w:rPr>
            <w:rFonts w:ascii="Arial" w:eastAsia="Times New Roman" w:hAnsi="Arial" w:cs="Arial"/>
            <w:color w:val="008000"/>
            <w:sz w:val="27"/>
            <w:lang w:val="ru-RU" w:eastAsia="ru-RU" w:bidi="ar-SA"/>
          </w:rPr>
          <w:t>Положения</w:t>
        </w:r>
      </w:hyperlink>
      <w:r w:rsidRPr="00B87835">
        <w:rPr>
          <w:rFonts w:ascii="Arial" w:eastAsia="Times New Roman" w:hAnsi="Arial" w:cs="Arial"/>
          <w:color w:val="000000"/>
          <w:sz w:val="27"/>
          <w:lang w:val="ru-RU" w:eastAsia="ru-RU" w:bidi="ar-SA"/>
        </w:rPr>
        <w:t> </w:t>
      </w:r>
      <w:r w:rsidRPr="00B87835">
        <w:rPr>
          <w:rFonts w:ascii="Arial" w:eastAsia="Times New Roman" w:hAnsi="Arial" w:cs="Arial"/>
          <w:color w:val="000000"/>
          <w:sz w:val="27"/>
          <w:szCs w:val="27"/>
          <w:lang w:val="ru-RU" w:eastAsia="ru-RU" w:bidi="ar-SA"/>
        </w:rPr>
        <w:t>о государственном санитарно-эпидемиологическом нормировании, утвержденного</w:t>
      </w:r>
      <w:hyperlink r:id="rId6" w:history="1">
        <w:r w:rsidRPr="00B87835">
          <w:rPr>
            <w:rFonts w:ascii="Arial" w:eastAsia="Times New Roman" w:hAnsi="Arial" w:cs="Arial"/>
            <w:color w:val="008000"/>
            <w:sz w:val="27"/>
            <w:lang w:val="ru-RU" w:eastAsia="ru-RU" w:bidi="ar-SA"/>
          </w:rPr>
          <w:t>постановлением</w:t>
        </w:r>
      </w:hyperlink>
      <w:r w:rsidRPr="00B87835">
        <w:rPr>
          <w:rFonts w:ascii="Arial" w:eastAsia="Times New Roman" w:hAnsi="Arial" w:cs="Arial"/>
          <w:color w:val="000000"/>
          <w:sz w:val="27"/>
          <w:lang w:val="ru-RU" w:eastAsia="ru-RU" w:bidi="ar-SA"/>
        </w:rPr>
        <w:t> </w:t>
      </w:r>
      <w:r w:rsidRPr="00B87835">
        <w:rPr>
          <w:rFonts w:ascii="Arial" w:eastAsia="Times New Roman" w:hAnsi="Arial" w:cs="Arial"/>
          <w:color w:val="000000"/>
          <w:sz w:val="27"/>
          <w:szCs w:val="27"/>
          <w:lang w:val="ru-RU" w:eastAsia="ru-RU" w:bidi="ar-SA"/>
        </w:rPr>
        <w:t>Правительства Российской Федерации от 24 июля 2000 г. N 554 (Собрание законодательства Российской Федерации, 2000, N 31, ст.3295), постановляю:</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 Ввести в действие с 30 июня 2003 года</w:t>
      </w:r>
      <w:r w:rsidRPr="00B87835">
        <w:rPr>
          <w:rFonts w:ascii="Arial" w:eastAsia="Times New Roman" w:hAnsi="Arial" w:cs="Arial"/>
          <w:color w:val="000000"/>
          <w:sz w:val="18"/>
          <w:lang w:val="ru-RU" w:eastAsia="ru-RU" w:bidi="ar-SA"/>
        </w:rPr>
        <w:t> </w:t>
      </w:r>
      <w:hyperlink r:id="rId7" w:anchor="block_10000" w:history="1">
        <w:r w:rsidRPr="00B87835">
          <w:rPr>
            <w:rFonts w:ascii="Arial" w:eastAsia="Times New Roman" w:hAnsi="Arial" w:cs="Arial"/>
            <w:color w:val="008000"/>
            <w:sz w:val="18"/>
            <w:lang w:val="ru-RU" w:eastAsia="ru-RU" w:bidi="ar-SA"/>
          </w:rPr>
          <w:t>санитарно-эпидемиологические правила и нормативы</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года.</w:t>
      </w:r>
    </w:p>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bl>
      <w:tblPr>
        <w:tblW w:w="5000" w:type="pct"/>
        <w:tblCellSpacing w:w="15" w:type="dxa"/>
        <w:tblCellMar>
          <w:top w:w="15" w:type="dxa"/>
          <w:left w:w="15" w:type="dxa"/>
          <w:bottom w:w="15" w:type="dxa"/>
          <w:right w:w="15" w:type="dxa"/>
        </w:tblCellMar>
        <w:tblLook w:val="04A0"/>
      </w:tblPr>
      <w:tblGrid>
        <w:gridCol w:w="6281"/>
        <w:gridCol w:w="3164"/>
      </w:tblGrid>
      <w:tr w:rsidR="00B87835" w:rsidRPr="00B87835" w:rsidTr="00B87835">
        <w:trPr>
          <w:tblCellSpacing w:w="15" w:type="dxa"/>
        </w:trPr>
        <w:tc>
          <w:tcPr>
            <w:tcW w:w="3300" w:type="pct"/>
            <w:vAlign w:val="bottom"/>
            <w:hideMark/>
          </w:tcPr>
          <w:p w:rsidR="00B87835" w:rsidRPr="00B87835" w:rsidRDefault="00B87835" w:rsidP="00B87835">
            <w:pPr>
              <w:spacing w:after="0" w:line="240" w:lineRule="auto"/>
              <w:rPr>
                <w:rFonts w:ascii="Arial" w:eastAsia="Times New Roman" w:hAnsi="Arial" w:cs="Arial"/>
                <w:color w:val="000000"/>
                <w:sz w:val="18"/>
                <w:szCs w:val="18"/>
                <w:lang w:val="ru-RU" w:eastAsia="ru-RU" w:bidi="ar-SA"/>
              </w:rPr>
            </w:pPr>
          </w:p>
        </w:tc>
        <w:tc>
          <w:tcPr>
            <w:tcW w:w="1650" w:type="pct"/>
            <w:vAlign w:val="bottom"/>
            <w:hideMark/>
          </w:tcPr>
          <w:p w:rsidR="00B87835" w:rsidRPr="00B87835" w:rsidRDefault="00B87835" w:rsidP="00B87835">
            <w:pPr>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Г.Г.Онищенко</w:t>
            </w:r>
          </w:p>
        </w:tc>
      </w:tr>
    </w:tbl>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Arial" w:eastAsia="Times New Roman" w:hAnsi="Arial" w:cs="Arial"/>
          <w:color w:val="000000"/>
          <w:sz w:val="27"/>
          <w:szCs w:val="27"/>
          <w:lang w:val="ru-RU" w:eastAsia="ru-RU" w:bidi="ar-SA"/>
        </w:rPr>
        <w:br/>
      </w:r>
    </w:p>
    <w:p w:rsidR="00B87835" w:rsidRPr="00B87835" w:rsidRDefault="00B87835" w:rsidP="00B87835">
      <w:pPr>
        <w:spacing w:after="0" w:line="240" w:lineRule="auto"/>
        <w:rPr>
          <w:rFonts w:ascii="Arial" w:eastAsia="Times New Roman" w:hAnsi="Arial" w:cs="Arial"/>
          <w:color w:val="000000"/>
          <w:sz w:val="27"/>
          <w:szCs w:val="27"/>
          <w:lang w:val="ru-RU" w:eastAsia="ru-RU" w:bidi="ar-SA"/>
        </w:rPr>
      </w:pPr>
      <w:r w:rsidRPr="00B87835">
        <w:rPr>
          <w:rFonts w:ascii="Arial" w:eastAsia="Times New Roman" w:hAnsi="Arial" w:cs="Arial"/>
          <w:color w:val="000000"/>
          <w:sz w:val="27"/>
          <w:szCs w:val="27"/>
          <w:lang w:val="ru-RU" w:eastAsia="ru-RU" w:bidi="ar-SA"/>
        </w:rPr>
        <w:t>Зарегистрировано в Минюсте РФ 10 июня 2003 г.</w:t>
      </w:r>
    </w:p>
    <w:p w:rsidR="00B87835" w:rsidRPr="00B87835" w:rsidRDefault="00B87835" w:rsidP="00B87835">
      <w:pPr>
        <w:spacing w:after="0" w:line="240" w:lineRule="auto"/>
        <w:rPr>
          <w:rFonts w:ascii="Arial" w:eastAsia="Times New Roman" w:hAnsi="Arial" w:cs="Arial"/>
          <w:color w:val="000000"/>
          <w:sz w:val="27"/>
          <w:szCs w:val="27"/>
          <w:lang w:val="ru-RU" w:eastAsia="ru-RU" w:bidi="ar-SA"/>
        </w:rPr>
      </w:pPr>
      <w:r w:rsidRPr="00B87835">
        <w:rPr>
          <w:rFonts w:ascii="Arial" w:eastAsia="Times New Roman" w:hAnsi="Arial" w:cs="Arial"/>
          <w:color w:val="000000"/>
          <w:sz w:val="27"/>
          <w:szCs w:val="27"/>
          <w:lang w:val="ru-RU" w:eastAsia="ru-RU" w:bidi="ar-SA"/>
        </w:rPr>
        <w:t>Регистрационный N 4673</w:t>
      </w:r>
    </w:p>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ГАРАНТ:</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Настоящие СанПиН</w:t>
      </w:r>
      <w:r w:rsidRPr="00B87835">
        <w:rPr>
          <w:rFonts w:ascii="Arial" w:eastAsia="Times New Roman" w:hAnsi="Arial" w:cs="Arial"/>
          <w:i/>
          <w:iCs/>
          <w:color w:val="800080"/>
          <w:sz w:val="18"/>
          <w:lang w:val="ru-RU" w:eastAsia="ru-RU" w:bidi="ar-SA"/>
        </w:rPr>
        <w:t> </w:t>
      </w:r>
      <w:hyperlink r:id="rId8" w:anchor="block_1" w:history="1">
        <w:r w:rsidRPr="00B87835">
          <w:rPr>
            <w:rFonts w:ascii="Arial" w:eastAsia="Times New Roman" w:hAnsi="Arial" w:cs="Arial"/>
            <w:i/>
            <w:iCs/>
            <w:color w:val="008000"/>
            <w:sz w:val="18"/>
            <w:u w:val="single"/>
            <w:lang w:val="ru-RU" w:eastAsia="ru-RU" w:bidi="ar-SA"/>
          </w:rPr>
          <w:t>вводятся в действие</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с 30 июня 2003 г.</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2.2.2. Гигиена труда, технологические процессы, сырье, материалы, оборудование, рабочий инструмент</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2.4. Гигиена детей и подростков</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Санитарно-эпидемиологические правила и нормативы СанПиН 2.2.2/2.4.1340-03</w:t>
      </w:r>
      <w:r w:rsidRPr="00B87835">
        <w:rPr>
          <w:rFonts w:ascii="Arial" w:eastAsia="Times New Roman" w:hAnsi="Arial" w:cs="Arial"/>
          <w:b/>
          <w:bCs/>
          <w:color w:val="000080"/>
          <w:sz w:val="18"/>
          <w:szCs w:val="18"/>
          <w:lang w:val="ru-RU" w:eastAsia="ru-RU" w:bidi="ar-SA"/>
        </w:rPr>
        <w:br/>
        <w:t>"Гигиенические требования к персональным электронно-вычислительным машинам и организации работы"</w:t>
      </w:r>
      <w:r w:rsidRPr="00B87835">
        <w:rPr>
          <w:rFonts w:ascii="Arial" w:eastAsia="Times New Roman" w:hAnsi="Arial" w:cs="Arial"/>
          <w:b/>
          <w:bCs/>
          <w:color w:val="000080"/>
          <w:sz w:val="18"/>
          <w:szCs w:val="18"/>
          <w:lang w:val="ru-RU" w:eastAsia="ru-RU" w:bidi="ar-SA"/>
        </w:rPr>
        <w:br/>
        <w:t>(утв. Главным государственным санитарным врачом РФ 30 мая 2003 г.)</w:t>
      </w:r>
    </w:p>
    <w:p w:rsidR="00B87835" w:rsidRPr="00B87835" w:rsidRDefault="00B87835" w:rsidP="00B87835">
      <w:pPr>
        <w:shd w:val="clear" w:color="auto" w:fill="FFFFFF"/>
        <w:spacing w:after="0" w:line="240" w:lineRule="auto"/>
        <w:jc w:val="both"/>
        <w:outlineLvl w:val="3"/>
        <w:rPr>
          <w:rFonts w:ascii="Arial" w:eastAsia="Times New Roman" w:hAnsi="Arial" w:cs="Arial"/>
          <w:color w:val="000000"/>
          <w:sz w:val="24"/>
          <w:szCs w:val="24"/>
          <w:lang w:val="ru-RU" w:eastAsia="ru-RU" w:bidi="ar-SA"/>
        </w:rPr>
      </w:pPr>
      <w:r w:rsidRPr="00B87835">
        <w:rPr>
          <w:rFonts w:ascii="Arial" w:eastAsia="Times New Roman" w:hAnsi="Arial" w:cs="Arial"/>
          <w:color w:val="000000"/>
          <w:sz w:val="24"/>
          <w:szCs w:val="24"/>
          <w:lang w:val="ru-RU" w:eastAsia="ru-RU" w:bidi="ar-SA"/>
        </w:rPr>
        <w:t>С изменениями и дополнениями от:</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25 апреля 2007 г., 3 сентября 2010 г.</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Дата введения: 30 июня 2003 г.</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I. Общие положения и область применения</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 Настоящие государственные санитарно-эпидемиологические правила и нормативы (далее - Санитарные правила) разработаны в соответствии с</w:t>
      </w:r>
      <w:r w:rsidRPr="00B87835">
        <w:rPr>
          <w:rFonts w:ascii="Arial" w:eastAsia="Times New Roman" w:hAnsi="Arial" w:cs="Arial"/>
          <w:color w:val="000000"/>
          <w:sz w:val="18"/>
          <w:lang w:val="ru-RU" w:eastAsia="ru-RU" w:bidi="ar-SA"/>
        </w:rPr>
        <w:t> </w:t>
      </w:r>
      <w:hyperlink r:id="rId9" w:history="1">
        <w:r w:rsidRPr="00B87835">
          <w:rPr>
            <w:rFonts w:ascii="Arial" w:eastAsia="Times New Roman" w:hAnsi="Arial" w:cs="Arial"/>
            <w:color w:val="008000"/>
            <w:sz w:val="18"/>
            <w:lang w:val="ru-RU" w:eastAsia="ru-RU" w:bidi="ar-SA"/>
          </w:rPr>
          <w:t>Федеральным законом</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"О санитарно-эпидемиологическом благополучии населения</w:t>
      </w:r>
      <w:hyperlink r:id="rId10" w:history="1">
        <w:r w:rsidRPr="00B87835">
          <w:rPr>
            <w:rFonts w:ascii="Arial" w:eastAsia="Times New Roman" w:hAnsi="Arial" w:cs="Arial"/>
            <w:i/>
            <w:iCs/>
            <w:color w:val="800080"/>
            <w:sz w:val="18"/>
            <w:lang w:val="ru-RU" w:eastAsia="ru-RU" w:bidi="ar-SA"/>
          </w:rPr>
          <w:t>#</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от 30 марта 1999 года N 52-ФЗ (Собрание законодательства Российской Федерации, 1999, N 14, ст.1650) и</w:t>
      </w:r>
      <w:r w:rsidRPr="00B87835">
        <w:rPr>
          <w:rFonts w:ascii="Arial" w:eastAsia="Times New Roman" w:hAnsi="Arial" w:cs="Arial"/>
          <w:color w:val="000000"/>
          <w:sz w:val="18"/>
          <w:lang w:val="ru-RU" w:eastAsia="ru-RU" w:bidi="ar-SA"/>
        </w:rPr>
        <w:t> </w:t>
      </w:r>
      <w:hyperlink r:id="rId11" w:anchor="block_2000" w:history="1">
        <w:r w:rsidRPr="00B87835">
          <w:rPr>
            <w:rFonts w:ascii="Arial" w:eastAsia="Times New Roman" w:hAnsi="Arial" w:cs="Arial"/>
            <w:color w:val="008000"/>
            <w:sz w:val="18"/>
            <w:lang w:val="ru-RU" w:eastAsia="ru-RU" w:bidi="ar-SA"/>
          </w:rPr>
          <w:t>Положением</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о государственном санитарно-эпидемиологическом нормировании, утвержденным</w:t>
      </w:r>
      <w:r w:rsidRPr="00B87835">
        <w:rPr>
          <w:rFonts w:ascii="Arial" w:eastAsia="Times New Roman" w:hAnsi="Arial" w:cs="Arial"/>
          <w:color w:val="000000"/>
          <w:sz w:val="18"/>
          <w:lang w:val="ru-RU" w:eastAsia="ru-RU" w:bidi="ar-SA"/>
        </w:rPr>
        <w:t> </w:t>
      </w:r>
      <w:hyperlink r:id="rId12" w:history="1">
        <w:r w:rsidRPr="00B87835">
          <w:rPr>
            <w:rFonts w:ascii="Arial" w:eastAsia="Times New Roman" w:hAnsi="Arial" w:cs="Arial"/>
            <w:color w:val="008000"/>
            <w:sz w:val="18"/>
            <w:lang w:val="ru-RU" w:eastAsia="ru-RU" w:bidi="ar-SA"/>
          </w:rPr>
          <w:t>постановлением</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Правительства Российской Федерации от 24 июля 2000 года N 554 (Собрание законодательства Российской Федерации, 2000, N 31, ст.3295).</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lastRenderedPageBreak/>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1.3.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1.4. Настоящие Санитарные правила определяют санитарно-эпидемиологические требования к:</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проектированию, изготовлению</w:t>
      </w:r>
      <w:r w:rsidRPr="00B87835">
        <w:rPr>
          <w:rFonts w:ascii="Arial" w:eastAsia="Times New Roman" w:hAnsi="Arial" w:cs="Arial"/>
          <w:color w:val="000000"/>
          <w:sz w:val="18"/>
          <w:lang w:val="ru-RU" w:eastAsia="ru-RU" w:bidi="ar-SA"/>
        </w:rPr>
        <w:t> </w:t>
      </w:r>
      <w:hyperlink r:id="rId13" w:tgtFrame="_blank" w:tooltip="Toyota Land Cruiser 200 / Lexus LX 570 с 2007 года выпуска. Руководство по ремонту и эксплуатации" w:history="1">
        <w:r w:rsidRPr="00B87835">
          <w:rPr>
            <w:rFonts w:ascii="Arial" w:eastAsia="Times New Roman" w:hAnsi="Arial" w:cs="Arial"/>
            <w:color w:val="008000"/>
            <w:sz w:val="18"/>
            <w:lang w:val="ru-RU" w:eastAsia="ru-RU" w:bidi="ar-SA"/>
          </w:rPr>
          <w:t>и эксплуатации</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отечественных ПЭВМ, используемых на производстве, в обучении, в быту, в игровых автоматах на базе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эксплуатации импортных ПЭВМ, используемых на производстве, в обучении, в быту и в игровых комплексах (автоматах) на базе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организации рабочих мест с ПЭВМ, производственным оборудованием и игровыми комплексами (автоматами) на базе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1.5. Требования Санитарных правил распространяются: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на условия и организацию работы с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(видеодисплейные терминалы (ВДТ) всех типов) и игровые комплексы на базе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1.6. Требования Санитарных правил не распространяются на проектирование, изготовление и эксплуатацию:</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бытовых телевизоров и телевизионных игровых приставок;</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средств визуального отображения информации микроконтроллеров, встроенных в технологическое оборудование;</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ПЭВМ транспортных средств;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ПЭВМ, перемещающихся в процессе работы.</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разработку, производство и эксплуатацию ПЭВМ, производственное оборудование и игровые комплексы на базе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1.8. Индивидуальными предпринимателями и юридическими лицами в процессе производства</w:t>
      </w:r>
      <w:r w:rsidRPr="00B87835">
        <w:rPr>
          <w:rFonts w:ascii="Arial" w:eastAsia="Times New Roman" w:hAnsi="Arial" w:cs="Arial"/>
          <w:color w:val="000000"/>
          <w:sz w:val="18"/>
          <w:lang w:val="ru-RU" w:eastAsia="ru-RU" w:bidi="ar-SA"/>
        </w:rPr>
        <w:t> </w:t>
      </w:r>
      <w:hyperlink r:id="rId14" w:tgtFrame="_blank" w:tooltip="Toyota Land Cruiser 200 / Lexus LX 570 с 2007 года выпуска. Руководство по ремонту и эксплуатации" w:history="1">
        <w:r w:rsidRPr="00B87835">
          <w:rPr>
            <w:rFonts w:ascii="Arial" w:eastAsia="Times New Roman" w:hAnsi="Arial" w:cs="Arial"/>
            <w:color w:val="008000"/>
            <w:sz w:val="18"/>
            <w:lang w:val="ru-RU" w:eastAsia="ru-RU" w:bidi="ar-SA"/>
          </w:rPr>
          <w:t>и эксплуатации</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ПЭВМ должен осуществляться производственный контроль за соблюдением настоящих Санитарных правил.</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1.9. Рабочие места с использованием ПЭВМ должны соответствовать требованиям настоящих Санитарных правил.</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II. Требования к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2.1. ПЭВМ должны соответствовать требованиям настоящих санитарных правил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2.2. Перечень продукции и контролируемых гигиенических параметров вредных и опасных факторов представлены в приложении 1 (</w:t>
      </w:r>
      <w:hyperlink r:id="rId15" w:anchor="block_110000" w:history="1">
        <w:r w:rsidRPr="00B87835">
          <w:rPr>
            <w:rFonts w:ascii="Arial" w:eastAsia="Times New Roman" w:hAnsi="Arial" w:cs="Arial"/>
            <w:color w:val="008000"/>
            <w:sz w:val="18"/>
            <w:lang w:val="ru-RU" w:eastAsia="ru-RU" w:bidi="ar-SA"/>
          </w:rPr>
          <w:t>таблица 1</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2.3. Допустимые уровни звукового давления и уровней звука, создаваемого ПЭВМ, не должны превышать значений, представленных в приложении 1 (</w:t>
      </w:r>
      <w:hyperlink r:id="rId16" w:anchor="block_100200" w:history="1">
        <w:r w:rsidRPr="00B87835">
          <w:rPr>
            <w:rFonts w:ascii="Arial" w:eastAsia="Times New Roman" w:hAnsi="Arial" w:cs="Arial"/>
            <w:color w:val="008000"/>
            <w:sz w:val="18"/>
            <w:lang w:val="ru-RU" w:eastAsia="ru-RU" w:bidi="ar-SA"/>
          </w:rPr>
          <w:t>таблица 2</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2.4. Временные допустимые уровни электромагнитных полей (ЭМП), создаваемых ПЭВМ, не должны превышать значений, представленных в приложении 1 (</w:t>
      </w:r>
      <w:hyperlink r:id="rId17" w:anchor="block_100300" w:history="1">
        <w:r w:rsidRPr="00B87835">
          <w:rPr>
            <w:rFonts w:ascii="Arial" w:eastAsia="Times New Roman" w:hAnsi="Arial" w:cs="Arial"/>
            <w:color w:val="008000"/>
            <w:sz w:val="18"/>
            <w:lang w:val="ru-RU" w:eastAsia="ru-RU" w:bidi="ar-SA"/>
          </w:rPr>
          <w:t>таблица 3</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2.5. Допустимые визуальные параметры устройств отображения информации представлены в приложении 1 (</w:t>
      </w:r>
      <w:hyperlink r:id="rId18" w:anchor="block_100400" w:history="1">
        <w:r w:rsidRPr="00B87835">
          <w:rPr>
            <w:rFonts w:ascii="Arial" w:eastAsia="Times New Roman" w:hAnsi="Arial" w:cs="Arial"/>
            <w:color w:val="008000"/>
            <w:sz w:val="18"/>
            <w:lang w:val="ru-RU" w:eastAsia="ru-RU" w:bidi="ar-SA"/>
          </w:rPr>
          <w:t>таблица 4</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мкЗв/час (100 мкР/час).</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2.9. Конструкция ВДТ должна предусматривать регулирование яркости и контрастности.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2.10. Документация на проектирование, изготовление и эксплуатацию ПЭВМ не должна противоречить требованиям настоящих санитарных правил.</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III. Требования к помещениям для работы с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Информация об изменениях:</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19" w:anchor="block_1000" w:history="1">
        <w:r w:rsidRPr="00B87835">
          <w:rPr>
            <w:rFonts w:ascii="Arial" w:eastAsia="Times New Roman" w:hAnsi="Arial" w:cs="Arial"/>
            <w:i/>
            <w:iCs/>
            <w:color w:val="008000"/>
            <w:sz w:val="18"/>
            <w:lang w:val="ru-RU" w:eastAsia="ru-RU" w:bidi="ar-SA"/>
          </w:rPr>
          <w:t>Санитарно-эпидемиологические правилами и нормативами</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СанПиН 2.2.2/2.4.2198-07, утвержденными</w:t>
      </w:r>
      <w:r w:rsidRPr="00B87835">
        <w:rPr>
          <w:rFonts w:ascii="Arial" w:eastAsia="Times New Roman" w:hAnsi="Arial" w:cs="Arial"/>
          <w:i/>
          <w:iCs/>
          <w:color w:val="800080"/>
          <w:sz w:val="18"/>
          <w:lang w:val="ru-RU" w:eastAsia="ru-RU" w:bidi="ar-SA"/>
        </w:rPr>
        <w:t> </w:t>
      </w:r>
      <w:hyperlink r:id="rId20" w:history="1">
        <w:r w:rsidRPr="00B87835">
          <w:rPr>
            <w:rFonts w:ascii="Arial" w:eastAsia="Times New Roman" w:hAnsi="Arial" w:cs="Arial"/>
            <w:i/>
            <w:iCs/>
            <w:color w:val="008000"/>
            <w:sz w:val="18"/>
            <w:lang w:val="ru-RU" w:eastAsia="ru-RU" w:bidi="ar-SA"/>
          </w:rPr>
          <w:t>постановлением</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Главного государственного санитарного врача РФ от 25 апреля 2007 г. N 22, пункт 3.1 настоящих Санитарно-эпидемиологических правил изложен в новой редакции,</w:t>
      </w:r>
      <w:r w:rsidRPr="00B87835">
        <w:rPr>
          <w:rFonts w:ascii="Arial" w:eastAsia="Times New Roman" w:hAnsi="Arial" w:cs="Arial"/>
          <w:i/>
          <w:iCs/>
          <w:color w:val="800080"/>
          <w:sz w:val="18"/>
          <w:lang w:val="ru-RU" w:eastAsia="ru-RU" w:bidi="ar-SA"/>
        </w:rPr>
        <w:t> </w:t>
      </w:r>
      <w:hyperlink r:id="rId21" w:anchor="block_2" w:history="1">
        <w:r w:rsidRPr="00B87835">
          <w:rPr>
            <w:rFonts w:ascii="Arial" w:eastAsia="Times New Roman" w:hAnsi="Arial" w:cs="Arial"/>
            <w:i/>
            <w:iCs/>
            <w:color w:val="008000"/>
            <w:sz w:val="18"/>
            <w:lang w:val="ru-RU" w:eastAsia="ru-RU" w:bidi="ar-SA"/>
          </w:rPr>
          <w:t>вступающей в силу</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с 1 июля 2007 г.</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22" w:anchor="block_31" w:history="1">
        <w:r w:rsidRPr="00B87835">
          <w:rPr>
            <w:rFonts w:ascii="Arial" w:eastAsia="Times New Roman" w:hAnsi="Arial" w:cs="Arial"/>
            <w:i/>
            <w:iCs/>
            <w:color w:val="008000"/>
            <w:sz w:val="18"/>
            <w:lang w:val="ru-RU" w:eastAsia="ru-RU" w:bidi="ar-SA"/>
          </w:rPr>
          <w:t>См. текст пункта в предыдущей редакции</w:t>
        </w:r>
      </w:hyperlink>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3.2. Естественное и искусственное освещение должно соответствовать требованиям 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Оконные проемы должны быть оборудованы регулируемыми устройствами типа: жалюзи, занавесей, внешних козырьков и др.</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3.4.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учреждений и с ВДТ на базе плоских дискретных экранов (жидкокристаллические, плазменные) - 4,5 м2.</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одно рабочее место пользователя (взрослого и учащегося высшего профессионального образования).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3.5. Для внутренней отделки интерьера помещений, где расположены ПЭВМ, должны использоваться диффузно-отражающие материалы с коэффициентом отражения для потолка - 0,7 - 0,8; для стен - 0,5 - 0,6; для пола - 0,3 - 0,5.</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3.7. Помещения, где размещаются рабочие места с ПЭВМ, должны быть оборудованы защитным заземлением (занулением) в соответствии с техническими требованиями</w:t>
      </w:r>
      <w:r w:rsidRPr="00B87835">
        <w:rPr>
          <w:rFonts w:ascii="Arial" w:eastAsia="Times New Roman" w:hAnsi="Arial" w:cs="Arial"/>
          <w:color w:val="000000"/>
          <w:sz w:val="18"/>
          <w:lang w:val="ru-RU" w:eastAsia="ru-RU" w:bidi="ar-SA"/>
        </w:rPr>
        <w:t> </w:t>
      </w:r>
      <w:hyperlink r:id="rId23" w:tgtFrame="_blank" w:tooltip="Toyota Land Cruiser 200 / Lexus LX 570 с 2007 года выпуска. Руководство по ремонту и эксплуатации" w:history="1">
        <w:r w:rsidRPr="00B87835">
          <w:rPr>
            <w:rFonts w:ascii="Arial" w:eastAsia="Times New Roman" w:hAnsi="Arial" w:cs="Arial"/>
            <w:color w:val="008000"/>
            <w:sz w:val="18"/>
            <w:lang w:val="ru-RU" w:eastAsia="ru-RU" w:bidi="ar-SA"/>
          </w:rPr>
          <w:t>по эксплуатации.</w:t>
        </w:r>
      </w:hyperlink>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IV. Требования к микроклимату, содержанию аэроионов и вредных химических веществ в воздухе на рабочих местах, оборудованных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w:t>
      </w:r>
      <w:hyperlink r:id="rId24" w:anchor="block_2000" w:history="1">
        <w:r w:rsidRPr="00B87835">
          <w:rPr>
            <w:rFonts w:ascii="Arial" w:eastAsia="Times New Roman" w:hAnsi="Arial" w:cs="Arial"/>
            <w:color w:val="008000"/>
            <w:sz w:val="18"/>
            <w:lang w:val="ru-RU" w:eastAsia="ru-RU" w:bidi="ar-SA"/>
          </w:rPr>
          <w:t>приложение 2</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4.4. В помещениях, оборудованных ПЭВМ, проводится ежедневная влажная уборка и систематическое проветривание после каждого часа работы на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нормативам.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4.6. Содержание вредных химических веществ в воздухе производственных помещений, в 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4.7. Содержание вредных химических веществ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4.8. Содержание вредных химических веществ в воздухе помещений, предназначенных для 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V. Требования к уровням шума и вибрации на рабочих местах, оборудованных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нормативами.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нормативами.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нормативами.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VI. Требования к освещению на рабочих местах, оборудованных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6.1.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6.3.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6.6.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не более 40, в дошкольных и учебных помещениях не более 15.</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кд/м2, защитный угол светильников должен быть не менее 40 градусов.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6.8. Светильники местного освещения должны иметь непросвечивающий отражатель с защитным углом не менее 40 градусов.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10:1.</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6.10.</w:t>
      </w:r>
      <w:r w:rsidRPr="00B87835">
        <w:rPr>
          <w:rFonts w:ascii="Arial" w:eastAsia="Times New Roman" w:hAnsi="Arial" w:cs="Arial"/>
          <w:color w:val="000000"/>
          <w:sz w:val="18"/>
          <w:lang w:val="ru-RU" w:eastAsia="ru-RU" w:bidi="ar-SA"/>
        </w:rPr>
        <w:t> </w:t>
      </w:r>
      <w:hyperlink r:id="rId25" w:anchor="block_1001" w:history="1">
        <w:r w:rsidRPr="00B87835">
          <w:rPr>
            <w:rFonts w:ascii="Arial" w:eastAsia="Times New Roman" w:hAnsi="Arial" w:cs="Arial"/>
            <w:color w:val="008000"/>
            <w:sz w:val="18"/>
            <w:lang w:val="ru-RU" w:eastAsia="ru-RU" w:bidi="ar-SA"/>
          </w:rPr>
          <w:t>Исключен</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Информация об изменениях:</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См. текст</w:t>
      </w:r>
      <w:r w:rsidRPr="00B87835">
        <w:rPr>
          <w:rFonts w:ascii="Arial" w:eastAsia="Times New Roman" w:hAnsi="Arial" w:cs="Arial"/>
          <w:i/>
          <w:iCs/>
          <w:color w:val="800080"/>
          <w:sz w:val="18"/>
          <w:lang w:val="ru-RU" w:eastAsia="ru-RU" w:bidi="ar-SA"/>
        </w:rPr>
        <w:t> </w:t>
      </w:r>
      <w:hyperlink r:id="rId26" w:anchor="block_610" w:history="1">
        <w:r w:rsidRPr="00B87835">
          <w:rPr>
            <w:rFonts w:ascii="Arial" w:eastAsia="Times New Roman" w:hAnsi="Arial" w:cs="Arial"/>
            <w:i/>
            <w:iCs/>
            <w:color w:val="008000"/>
            <w:sz w:val="18"/>
            <w:lang w:val="ru-RU" w:eastAsia="ru-RU" w:bidi="ar-SA"/>
          </w:rPr>
          <w:t>пункта 6.10</w:t>
        </w:r>
      </w:hyperlink>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Информация об изменениях:</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27" w:anchor="block_1002" w:history="1">
        <w:r w:rsidRPr="00B87835">
          <w:rPr>
            <w:rFonts w:ascii="Arial" w:eastAsia="Times New Roman" w:hAnsi="Arial" w:cs="Arial"/>
            <w:i/>
            <w:iCs/>
            <w:color w:val="008000"/>
            <w:sz w:val="18"/>
            <w:lang w:val="ru-RU" w:eastAsia="ru-RU" w:bidi="ar-SA"/>
          </w:rPr>
          <w:t>Постановлением</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Главного государственного санитарного врача РФ от 3 сентября 2010 г. N 116 пункт 6.11 настоящих СанПиН изложен в новой редакции</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28" w:anchor="block_611" w:history="1">
        <w:r w:rsidRPr="00B87835">
          <w:rPr>
            <w:rFonts w:ascii="Arial" w:eastAsia="Times New Roman" w:hAnsi="Arial" w:cs="Arial"/>
            <w:i/>
            <w:iCs/>
            <w:color w:val="008000"/>
            <w:sz w:val="18"/>
            <w:lang w:val="ru-RU" w:eastAsia="ru-RU" w:bidi="ar-SA"/>
          </w:rPr>
          <w:t>См. текст пункта в предыдущей редакции</w:t>
        </w:r>
      </w:hyperlink>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6.13. Коэффициент запаса (Кз) для осветительных установок общего освещения должен приниматься равным 1,4.</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6.14. Коэффициент пульсации не должен превышать 5%.</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VII. Требования к уровням электромагнитных полей на рабочих местах, оборудованных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7.1. Временные допустимые уровни ЭМП, создаваемых ПЭВМ на рабочих местах пользователей, а также в помещениях образовательных, дошкольных и культурно-развлекательных учреждений, представлены в приложении 2 (</w:t>
      </w:r>
      <w:hyperlink r:id="rId29" w:anchor="block_2100" w:history="1">
        <w:r w:rsidRPr="00B87835">
          <w:rPr>
            <w:rFonts w:ascii="Arial" w:eastAsia="Times New Roman" w:hAnsi="Arial" w:cs="Arial"/>
            <w:color w:val="008000"/>
            <w:sz w:val="18"/>
            <w:lang w:val="ru-RU" w:eastAsia="ru-RU" w:bidi="ar-SA"/>
          </w:rPr>
          <w:t>таблица 1</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7.2. Методика проведения инструментального контроля уровней ЭМП на рабочих местах пользователей ПЭВМ представлена в</w:t>
      </w:r>
      <w:r w:rsidRPr="00B87835">
        <w:rPr>
          <w:rFonts w:ascii="Arial" w:eastAsia="Times New Roman" w:hAnsi="Arial" w:cs="Arial"/>
          <w:color w:val="000000"/>
          <w:sz w:val="18"/>
          <w:lang w:val="ru-RU" w:eastAsia="ru-RU" w:bidi="ar-SA"/>
        </w:rPr>
        <w:t> </w:t>
      </w:r>
      <w:hyperlink r:id="rId30" w:anchor="block_3000" w:history="1">
        <w:r w:rsidRPr="00B87835">
          <w:rPr>
            <w:rFonts w:ascii="Arial" w:eastAsia="Times New Roman" w:hAnsi="Arial" w:cs="Arial"/>
            <w:color w:val="008000"/>
            <w:sz w:val="18"/>
            <w:lang w:val="ru-RU" w:eastAsia="ru-RU" w:bidi="ar-SA"/>
          </w:rPr>
          <w:t>Приложении 3</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VIII. Требования к визуальным параметрам ВДТ, контролируемым на рабочих местах</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8.1. Предельно допустимые значения визуальных параметров ВДТ, контролируемые на рабочих местах, представлены в приложении 2 (</w:t>
      </w:r>
      <w:hyperlink r:id="rId31" w:anchor="block_2300" w:history="1">
        <w:r w:rsidRPr="00B87835">
          <w:rPr>
            <w:rFonts w:ascii="Arial" w:eastAsia="Times New Roman" w:hAnsi="Arial" w:cs="Arial"/>
            <w:color w:val="008000"/>
            <w:sz w:val="18"/>
            <w:lang w:val="ru-RU" w:eastAsia="ru-RU" w:bidi="ar-SA"/>
          </w:rPr>
          <w:t>таблица 3</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IX. Общие требования к организации рабочих мест пользователей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X. Требования к организации и оборудованию рабочих мест с ПЭВМ для взрослых пользователей</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10.1.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10.4. Конструкция рабочего стула должна обеспечивать:</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ширину и глубину поверхности сиденья не менее 400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поверхность сиденья с закругленным передним краем;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регулировку высоты поверхности сиденья в пределах 400 - 550 мм и углам наклона вперед до 15 град, и назад до 5 град.;</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высоту опорной поверхности спинки 300 +-20 мм, ширину - не менее 380 мм и радиус кривизны горизонтальной плоскости - 400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угол наклона спинки в вертикальной плоскости в пределах +-30 градусов;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регулировку расстояния спинки от переднего края сиденья в пределах 260 - 400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стационарные или съемные подлокотники длиной не менее 250 мм и шириной - 50 - 70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регулировку подлокотников по высоте над сиденьем в пределах 230 +-30 мм и внутреннего расстояния между подлокотниками в пределах 350 - 500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10.5. 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Поверхность подставки должна быть рифленой и иметь по переднему краю бортик высотой 10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lastRenderedPageBreak/>
        <w:t>XI. Требования к организации и оборудованию рабочих мест с ПЭВМ для обучающихся в общеобразовательных учреждениях и учреждениях начального и высшего профессионального образования</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11.1. Помещения для занятий оборудуются одноместными столами, предназначенными для работы с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11.2 Конструкция одноместного стола для работы с ПЭВМ должна предусматривать:</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ширину поверхностей для ВДТ и клавиатуры не менее 750 мм (ширина обеих поверхностей должна быть одинаковой) и глубину не менее 550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опору поверхностей для ПЭВМ или ВДТ и для клавиатуры на стояк, в котором должны находится провода электропитания и кабель локальной сети. Основание стояка следует совмещать с подставкой для ног;</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отсутствие ящиков;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увеличение ширины поверхностей до 1200 мм при оснащении рабочего места принтером.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11.3. Высота края стола, обращенного к работающему с ПЭВМ, и высота пространства для ног должны соответствовать росту обучающихся в обуви (</w:t>
      </w:r>
      <w:hyperlink r:id="rId32" w:anchor="block_4000" w:history="1">
        <w:r w:rsidRPr="00B87835">
          <w:rPr>
            <w:rFonts w:ascii="Arial" w:eastAsia="Times New Roman" w:hAnsi="Arial" w:cs="Arial"/>
            <w:color w:val="008000"/>
            <w:sz w:val="18"/>
            <w:lang w:val="ru-RU" w:eastAsia="ru-RU" w:bidi="ar-SA"/>
          </w:rPr>
          <w:t>Приложение 4</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11.4. При наличии высокого стола и стула, несоответствующего росту обучающихся, следует использовать регулируемую по высоте подставку для ног.</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+-5 градусов, допустимое +-10 градусов.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11.6. Рабочее место с ПЭВМ оборудуют стулом, основные размеры которого должны соответствовать росту обучающихся в обуви (</w:t>
      </w:r>
      <w:hyperlink r:id="rId33" w:anchor="block_5000" w:history="1">
        <w:r w:rsidRPr="00B87835">
          <w:rPr>
            <w:rFonts w:ascii="Arial" w:eastAsia="Times New Roman" w:hAnsi="Arial" w:cs="Arial"/>
            <w:color w:val="008000"/>
            <w:sz w:val="18"/>
            <w:lang w:val="ru-RU" w:eastAsia="ru-RU" w:bidi="ar-SA"/>
          </w:rPr>
          <w:t>Приложение 5</w:t>
        </w:r>
      </w:hyperlink>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XII. Требования к оборудованию и организации помещений с ПЭВМ для детей дошкольного возраста</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12.1. Помещения для занятий оборудуются одноместными столами, предназначенными для работы с ПЭВМ.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Конструкция стола для размещения ПЭВМ должна предусматривать:</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возможность плавного и легкого изменения угла наклона поверхности для клавиатуры от 0 до 10 град, с надежной фиксацией;</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ширина и глубина поверхности под клавиатуру должна быть не менее 600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ровную без углублений поверхность стола для клавиатуры;</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отсутствие ящиков;</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пространство для ног под столом над полом не менее 400 мм.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Ширина определяется конструкцией стола.</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12.3. Размеры стульев для занятий приведены в</w:t>
      </w:r>
      <w:r w:rsidRPr="00B87835">
        <w:rPr>
          <w:rFonts w:ascii="Arial" w:eastAsia="Times New Roman" w:hAnsi="Arial" w:cs="Arial"/>
          <w:color w:val="000000"/>
          <w:sz w:val="18"/>
          <w:lang w:val="ru-RU" w:eastAsia="ru-RU" w:bidi="ar-SA"/>
        </w:rPr>
        <w:t> </w:t>
      </w:r>
      <w:hyperlink r:id="rId34" w:anchor="block_5000" w:history="1">
        <w:r w:rsidRPr="00B87835">
          <w:rPr>
            <w:rFonts w:ascii="Arial" w:eastAsia="Times New Roman" w:hAnsi="Arial" w:cs="Arial"/>
            <w:color w:val="008000"/>
            <w:sz w:val="18"/>
            <w:lang w:val="ru-RU" w:eastAsia="ru-RU" w:bidi="ar-SA"/>
          </w:rPr>
          <w:t>Приложении 5</w:t>
        </w:r>
      </w:hyperlink>
      <w:r w:rsidRPr="00B87835">
        <w:rPr>
          <w:rFonts w:ascii="Arial" w:eastAsia="Times New Roman" w:hAnsi="Arial" w:cs="Arial"/>
          <w:color w:val="000000"/>
          <w:sz w:val="18"/>
          <w:szCs w:val="18"/>
          <w:lang w:val="ru-RU" w:eastAsia="ru-RU" w:bidi="ar-SA"/>
        </w:rPr>
        <w:t>. Замена стульев табуретками или скамейками не допускается.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12.4. Поверхность сиденья стула должна легко поддаваться дезинфекции.</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XIII. Требования к организации медицинского обслуживания пользователей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порядке.</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законодательством Российской Федерации.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XIV. Требования к проведению государственного санитарно-эпидемиологического надзора и производственного контроля</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14.3.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lastRenderedPageBreak/>
        <w:t>14.4. Производственный контроль за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правилами и другими нормативными документами.</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5000" w:type="pct"/>
        <w:tblCellSpacing w:w="15" w:type="dxa"/>
        <w:tblCellMar>
          <w:top w:w="15" w:type="dxa"/>
          <w:left w:w="15" w:type="dxa"/>
          <w:bottom w:w="15" w:type="dxa"/>
          <w:right w:w="15" w:type="dxa"/>
        </w:tblCellMar>
        <w:tblLook w:val="04A0"/>
      </w:tblPr>
      <w:tblGrid>
        <w:gridCol w:w="6281"/>
        <w:gridCol w:w="3164"/>
      </w:tblGrid>
      <w:tr w:rsidR="00B87835" w:rsidRPr="00B87835" w:rsidTr="00B87835">
        <w:trPr>
          <w:tblCellSpacing w:w="15" w:type="dxa"/>
        </w:trPr>
        <w:tc>
          <w:tcPr>
            <w:tcW w:w="3300" w:type="pct"/>
            <w:vAlign w:val="bottom"/>
            <w:hideMark/>
          </w:tcPr>
          <w:p w:rsidR="00B87835" w:rsidRPr="00B87835" w:rsidRDefault="00B87835" w:rsidP="00B87835">
            <w:pPr>
              <w:spacing w:after="0" w:line="240" w:lineRule="auto"/>
              <w:rPr>
                <w:rFonts w:ascii="Times New Roman" w:eastAsia="Times New Roman" w:hAnsi="Times New Roman" w:cs="Times New Roman"/>
                <w:sz w:val="18"/>
                <w:szCs w:val="18"/>
                <w:lang w:val="ru-RU" w:eastAsia="ru-RU" w:bidi="ar-SA"/>
              </w:rPr>
            </w:pPr>
            <w:r w:rsidRPr="00B87835">
              <w:rPr>
                <w:rFonts w:ascii="Times New Roman" w:eastAsia="Times New Roman" w:hAnsi="Times New Roman" w:cs="Times New Roman"/>
                <w:sz w:val="18"/>
                <w:szCs w:val="18"/>
                <w:lang w:val="ru-RU" w:eastAsia="ru-RU" w:bidi="ar-SA"/>
              </w:rPr>
              <w:t>Главный государственный санитарный врач</w:t>
            </w:r>
            <w:r w:rsidRPr="00B87835">
              <w:rPr>
                <w:rFonts w:ascii="Times New Roman" w:eastAsia="Times New Roman" w:hAnsi="Times New Roman" w:cs="Times New Roman"/>
                <w:sz w:val="18"/>
                <w:szCs w:val="18"/>
                <w:lang w:val="ru-RU" w:eastAsia="ru-RU" w:bidi="ar-SA"/>
              </w:rPr>
              <w:br/>
              <w:t>Российской Федерации</w:t>
            </w:r>
            <w:r w:rsidRPr="00B87835">
              <w:rPr>
                <w:rFonts w:ascii="Times New Roman" w:eastAsia="Times New Roman" w:hAnsi="Times New Roman" w:cs="Times New Roman"/>
                <w:sz w:val="18"/>
                <w:szCs w:val="18"/>
                <w:lang w:val="ru-RU" w:eastAsia="ru-RU" w:bidi="ar-SA"/>
              </w:rPr>
              <w:br/>
              <w:t>Первый заместитель Министра здравоохранения</w:t>
            </w:r>
            <w:r w:rsidRPr="00B87835">
              <w:rPr>
                <w:rFonts w:ascii="Times New Roman" w:eastAsia="Times New Roman" w:hAnsi="Times New Roman" w:cs="Times New Roman"/>
                <w:sz w:val="18"/>
                <w:szCs w:val="18"/>
                <w:lang w:val="ru-RU" w:eastAsia="ru-RU" w:bidi="ar-SA"/>
              </w:rPr>
              <w:br/>
              <w:t>Российской Федерации</w:t>
            </w:r>
          </w:p>
        </w:tc>
        <w:tc>
          <w:tcPr>
            <w:tcW w:w="1650" w:type="pct"/>
            <w:vAlign w:val="bottom"/>
            <w:hideMark/>
          </w:tcPr>
          <w:p w:rsidR="00B87835" w:rsidRPr="00B87835" w:rsidRDefault="00B87835" w:rsidP="00B87835">
            <w:pPr>
              <w:spacing w:after="0" w:line="240" w:lineRule="auto"/>
              <w:jc w:val="right"/>
              <w:rPr>
                <w:rFonts w:ascii="Times New Roman" w:eastAsia="Times New Roman" w:hAnsi="Times New Roman" w:cs="Times New Roman"/>
                <w:sz w:val="18"/>
                <w:szCs w:val="18"/>
                <w:lang w:val="ru-RU" w:eastAsia="ru-RU" w:bidi="ar-SA"/>
              </w:rPr>
            </w:pPr>
            <w:r w:rsidRPr="00B87835">
              <w:rPr>
                <w:rFonts w:ascii="Times New Roman" w:eastAsia="Times New Roman" w:hAnsi="Times New Roman" w:cs="Times New Roman"/>
                <w:sz w:val="18"/>
                <w:szCs w:val="18"/>
                <w:lang w:val="ru-RU" w:eastAsia="ru-RU" w:bidi="ar-SA"/>
              </w:rPr>
              <w:t>Г.Г.Онищенко</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Приложение 1</w:t>
      </w:r>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к </w:t>
      </w:r>
      <w:hyperlink r:id="rId35" w:anchor="block_10000" w:history="1">
        <w:r w:rsidRPr="00B87835">
          <w:rPr>
            <w:rFonts w:ascii="Arial" w:eastAsia="Times New Roman" w:hAnsi="Arial" w:cs="Arial"/>
            <w:b/>
            <w:bCs/>
            <w:color w:val="008000"/>
            <w:sz w:val="18"/>
            <w:lang w:val="ru-RU" w:eastAsia="ru-RU" w:bidi="ar-SA"/>
          </w:rPr>
          <w:t>СанПиН 2.2.2/2.4.1340-03</w:t>
        </w:r>
      </w:hyperlink>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Перечень</w:t>
      </w:r>
      <w:r w:rsidRPr="00B87835">
        <w:rPr>
          <w:rFonts w:ascii="Arial" w:eastAsia="Times New Roman" w:hAnsi="Arial" w:cs="Arial"/>
          <w:b/>
          <w:bCs/>
          <w:color w:val="000080"/>
          <w:sz w:val="18"/>
          <w:szCs w:val="18"/>
          <w:lang w:val="ru-RU" w:eastAsia="ru-RU" w:bidi="ar-SA"/>
        </w:rPr>
        <w:br/>
        <w:t>продукции и контролируемые гигиенические параметры</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ind w:firstLine="680"/>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Таблица 1</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716"/>
        <w:gridCol w:w="3705"/>
        <w:gridCol w:w="1983"/>
        <w:gridCol w:w="3661"/>
      </w:tblGrid>
      <w:tr w:rsidR="00B87835" w:rsidRPr="00B87835" w:rsidTr="00B87835">
        <w:trPr>
          <w:tblCellSpacing w:w="15" w:type="dxa"/>
        </w:trPr>
        <w:tc>
          <w:tcPr>
            <w:tcW w:w="675" w:type="dxa"/>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N</w:t>
            </w:r>
          </w:p>
        </w:tc>
        <w:tc>
          <w:tcPr>
            <w:tcW w:w="3690"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Вид продукции</w:t>
            </w:r>
          </w:p>
        </w:tc>
        <w:tc>
          <w:tcPr>
            <w:tcW w:w="196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Код ОКП</w:t>
            </w:r>
          </w:p>
        </w:tc>
        <w:tc>
          <w:tcPr>
            <w:tcW w:w="3630"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Контролируемые гигиенические параметры</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w:t>
            </w:r>
          </w:p>
        </w:tc>
        <w:tc>
          <w:tcPr>
            <w:tcW w:w="36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Машины вычислительные электронные цифровые, машины вычислительные электронные цифровые персональные (включая портативные ЭВМ)</w:t>
            </w:r>
          </w:p>
        </w:tc>
        <w:tc>
          <w:tcPr>
            <w:tcW w:w="19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40 1300,</w:t>
            </w:r>
          </w:p>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40 1350,</w:t>
            </w:r>
          </w:p>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40 1370</w:t>
            </w:r>
          </w:p>
        </w:tc>
        <w:tc>
          <w:tcPr>
            <w:tcW w:w="363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Уровни электромагнитных полей (ЭМП), акустического шума, концентрация вредных веществ в воздухе, визуальные показатели ВДТ, мягкое рентгеновское излучение</w:t>
            </w:r>
            <w:hyperlink r:id="rId36" w:anchor="block_1111" w:history="1">
              <w:r w:rsidRPr="00B87835">
                <w:rPr>
                  <w:rFonts w:ascii="Times New Roman" w:eastAsia="Times New Roman" w:hAnsi="Times New Roman" w:cs="Times New Roman"/>
                  <w:color w:val="008000"/>
                  <w:sz w:val="24"/>
                  <w:szCs w:val="24"/>
                  <w:lang w:val="ru-RU" w:eastAsia="ru-RU" w:bidi="ar-SA"/>
                </w:rPr>
                <w:t>*</w:t>
              </w:r>
            </w:hyperlink>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w:t>
            </w:r>
          </w:p>
        </w:tc>
        <w:tc>
          <w:tcPr>
            <w:tcW w:w="36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Устройства периферийные: принтеры, сканеры, модемы, сетевые устройства, блоки бесперебойного питания и т.д.</w:t>
            </w:r>
          </w:p>
        </w:tc>
        <w:tc>
          <w:tcPr>
            <w:tcW w:w="19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40 3000</w:t>
            </w:r>
          </w:p>
        </w:tc>
        <w:tc>
          <w:tcPr>
            <w:tcW w:w="363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Уровни ЭМП, акустического шума, концентрация вредных веществ в воздухе</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w:t>
            </w:r>
          </w:p>
        </w:tc>
        <w:tc>
          <w:tcPr>
            <w:tcW w:w="36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Устройства отображения информации (видеодисплейные терминалы)</w:t>
            </w:r>
          </w:p>
        </w:tc>
        <w:tc>
          <w:tcPr>
            <w:tcW w:w="19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40 3200</w:t>
            </w:r>
          </w:p>
        </w:tc>
        <w:tc>
          <w:tcPr>
            <w:tcW w:w="363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Уровни ЭМП, визуальные показатели, концентрация вредных веществ в воздухе, мягкое рентгеновское излучение</w:t>
            </w:r>
            <w:hyperlink r:id="rId37" w:anchor="block_1111" w:history="1">
              <w:r w:rsidRPr="00B87835">
                <w:rPr>
                  <w:rFonts w:ascii="Times New Roman" w:eastAsia="Times New Roman" w:hAnsi="Times New Roman" w:cs="Times New Roman"/>
                  <w:color w:val="008000"/>
                  <w:sz w:val="24"/>
                  <w:szCs w:val="24"/>
                  <w:lang w:val="ru-RU" w:eastAsia="ru-RU" w:bidi="ar-SA"/>
                </w:rPr>
                <w:t>*</w:t>
              </w:r>
            </w:hyperlink>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w:t>
            </w:r>
          </w:p>
        </w:tc>
        <w:tc>
          <w:tcPr>
            <w:tcW w:w="36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Автоматы игровые с использованием ПЭВМ</w:t>
            </w:r>
          </w:p>
        </w:tc>
        <w:tc>
          <w:tcPr>
            <w:tcW w:w="19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96 8575</w:t>
            </w:r>
          </w:p>
        </w:tc>
        <w:tc>
          <w:tcPr>
            <w:tcW w:w="363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Уровни ЭМП, акустического шума, концентрация вредных веществ в воздухе, визуальные показатели ВДТ, мягкое рентгеновское излучение</w:t>
            </w:r>
            <w:hyperlink r:id="rId38" w:anchor="block_1111" w:history="1">
              <w:r w:rsidRPr="00B87835">
                <w:rPr>
                  <w:rFonts w:ascii="Times New Roman" w:eastAsia="Times New Roman" w:hAnsi="Times New Roman" w:cs="Times New Roman"/>
                  <w:color w:val="008000"/>
                  <w:sz w:val="24"/>
                  <w:szCs w:val="24"/>
                  <w:lang w:val="ru-RU" w:eastAsia="ru-RU" w:bidi="ar-SA"/>
                </w:rPr>
                <w:t>*</w:t>
              </w:r>
            </w:hyperlink>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______________________________</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Контроль мягкого рентгеновского излучения осуществляется только для видеодисплейных терминалов с использованием электронно-лучевых трубок.</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Допустимые значения уровней звукового давления в октавных полосах частот и уровня звука, создаваемого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Таблица 2</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909"/>
        <w:gridCol w:w="1008"/>
        <w:gridCol w:w="1024"/>
        <w:gridCol w:w="1009"/>
        <w:gridCol w:w="1009"/>
        <w:gridCol w:w="1011"/>
        <w:gridCol w:w="1026"/>
        <w:gridCol w:w="1011"/>
        <w:gridCol w:w="1011"/>
        <w:gridCol w:w="1047"/>
      </w:tblGrid>
      <w:tr w:rsidR="00B87835" w:rsidRPr="00B87835" w:rsidTr="00B87835">
        <w:trPr>
          <w:tblCellSpacing w:w="15" w:type="dxa"/>
        </w:trPr>
        <w:tc>
          <w:tcPr>
            <w:tcW w:w="9015" w:type="dxa"/>
            <w:gridSpan w:val="9"/>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Уровни звукового давления в октавных полосах со среднегеометрическими частотами</w:t>
            </w:r>
          </w:p>
        </w:tc>
        <w:tc>
          <w:tcPr>
            <w:tcW w:w="1005" w:type="dxa"/>
            <w:vMerge w:val="restart"/>
            <w:tcBorders>
              <w:top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Уровни звука в дБА</w:t>
            </w:r>
          </w:p>
        </w:tc>
      </w:tr>
      <w:tr w:rsidR="00B87835" w:rsidRPr="00B87835" w:rsidTr="00B87835">
        <w:trPr>
          <w:tblCellSpacing w:w="15" w:type="dxa"/>
        </w:trPr>
        <w:tc>
          <w:tcPr>
            <w:tcW w:w="87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31,5 Гц</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63 Гц</w:t>
            </w:r>
          </w:p>
        </w:tc>
        <w:tc>
          <w:tcPr>
            <w:tcW w:w="100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125 Гц</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250 Гц</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500 Гц</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1000 Гц</w:t>
            </w:r>
          </w:p>
        </w:tc>
        <w:tc>
          <w:tcPr>
            <w:tcW w:w="100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2000 Гц</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4000 Гц</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8000 Гц</w:t>
            </w:r>
          </w:p>
        </w:tc>
        <w:tc>
          <w:tcPr>
            <w:tcW w:w="0" w:type="auto"/>
            <w:vMerge/>
            <w:tcBorders>
              <w:top w:val="single" w:sz="6" w:space="0" w:color="000000"/>
              <w:right w:val="single" w:sz="6" w:space="0" w:color="000000"/>
            </w:tcBorders>
            <w:vAlign w:val="center"/>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r>
      <w:tr w:rsidR="00B87835" w:rsidRPr="00B87835" w:rsidTr="00B87835">
        <w:trPr>
          <w:tblCellSpacing w:w="15" w:type="dxa"/>
        </w:trPr>
        <w:tc>
          <w:tcPr>
            <w:tcW w:w="87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86 дБ</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71 дБ</w:t>
            </w:r>
          </w:p>
        </w:tc>
        <w:tc>
          <w:tcPr>
            <w:tcW w:w="10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61 дБ</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54 дБ</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49 дБ</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45 дБ</w:t>
            </w:r>
          </w:p>
        </w:tc>
        <w:tc>
          <w:tcPr>
            <w:tcW w:w="10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42 дБ</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 дБ</w:t>
            </w:r>
          </w:p>
        </w:tc>
        <w:tc>
          <w:tcPr>
            <w:tcW w:w="990"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38 дБ</w:t>
            </w:r>
          </w:p>
        </w:tc>
        <w:tc>
          <w:tcPr>
            <w:tcW w:w="100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50</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lastRenderedPageBreak/>
        <w:t>Измерение уровня звука и уровней звукового давления проводится на расстоянии 50 см от поверхности оборудования и на высоте расположения источника(ков) звука.</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Временные уровни ЭМП, создаваемых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Таблица 3</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2440"/>
        <w:gridCol w:w="4611"/>
        <w:gridCol w:w="3014"/>
      </w:tblGrid>
      <w:tr w:rsidR="00B87835" w:rsidRPr="00B87835" w:rsidTr="00B87835">
        <w:trPr>
          <w:tblCellSpacing w:w="15" w:type="dxa"/>
        </w:trPr>
        <w:tc>
          <w:tcPr>
            <w:tcW w:w="7020" w:type="dxa"/>
            <w:gridSpan w:val="2"/>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Наименование параметров</w:t>
            </w:r>
          </w:p>
        </w:tc>
        <w:tc>
          <w:tcPr>
            <w:tcW w:w="298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ВДУ ЭМП</w:t>
            </w:r>
          </w:p>
        </w:tc>
      </w:tr>
      <w:tr w:rsidR="00B87835" w:rsidRPr="00B87835" w:rsidTr="00B87835">
        <w:trPr>
          <w:tblCellSpacing w:w="15" w:type="dxa"/>
        </w:trPr>
        <w:tc>
          <w:tcPr>
            <w:tcW w:w="2400" w:type="dxa"/>
            <w:vMerge w:val="restart"/>
            <w:tcBorders>
              <w:left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Напряженность электрического поля</w:t>
            </w:r>
          </w:p>
        </w:tc>
        <w:tc>
          <w:tcPr>
            <w:tcW w:w="46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5 Гц - 2 кГц</w:t>
            </w:r>
          </w:p>
        </w:tc>
        <w:tc>
          <w:tcPr>
            <w:tcW w:w="29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 В/м</w:t>
            </w:r>
          </w:p>
        </w:tc>
      </w:tr>
      <w:tr w:rsidR="00B87835" w:rsidRPr="00B87835" w:rsidTr="00B87835">
        <w:trPr>
          <w:tblCellSpacing w:w="15" w:type="dxa"/>
        </w:trPr>
        <w:tc>
          <w:tcPr>
            <w:tcW w:w="0" w:type="auto"/>
            <w:vMerge/>
            <w:tcBorders>
              <w:left w:val="single" w:sz="6" w:space="0" w:color="000000"/>
              <w:right w:val="single" w:sz="6" w:space="0" w:color="000000"/>
            </w:tcBorders>
            <w:vAlign w:val="center"/>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46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2 кГц - 400 кГц</w:t>
            </w:r>
          </w:p>
        </w:tc>
        <w:tc>
          <w:tcPr>
            <w:tcW w:w="29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 В/м</w:t>
            </w:r>
          </w:p>
        </w:tc>
      </w:tr>
      <w:tr w:rsidR="00B87835" w:rsidRPr="00B87835" w:rsidTr="00B87835">
        <w:trPr>
          <w:tblCellSpacing w:w="15" w:type="dxa"/>
        </w:trPr>
        <w:tc>
          <w:tcPr>
            <w:tcW w:w="2400" w:type="dxa"/>
            <w:vMerge w:val="restart"/>
            <w:tcBorders>
              <w:left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Плотность магнитного потока</w:t>
            </w:r>
          </w:p>
        </w:tc>
        <w:tc>
          <w:tcPr>
            <w:tcW w:w="46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5 Гц - 2 кГц</w:t>
            </w:r>
          </w:p>
        </w:tc>
        <w:tc>
          <w:tcPr>
            <w:tcW w:w="29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250 нТл</w:t>
            </w:r>
          </w:p>
        </w:tc>
      </w:tr>
      <w:tr w:rsidR="00B87835" w:rsidRPr="00B87835" w:rsidTr="00B87835">
        <w:trPr>
          <w:tblCellSpacing w:w="15" w:type="dxa"/>
        </w:trPr>
        <w:tc>
          <w:tcPr>
            <w:tcW w:w="0" w:type="auto"/>
            <w:vMerge/>
            <w:tcBorders>
              <w:left w:val="single" w:sz="6" w:space="0" w:color="000000"/>
              <w:right w:val="single" w:sz="6" w:space="0" w:color="000000"/>
            </w:tcBorders>
            <w:vAlign w:val="center"/>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46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2 кГц - 400 кГц</w:t>
            </w:r>
          </w:p>
        </w:tc>
        <w:tc>
          <w:tcPr>
            <w:tcW w:w="29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 нТл</w:t>
            </w:r>
          </w:p>
        </w:tc>
      </w:tr>
      <w:tr w:rsidR="00B87835" w:rsidRPr="00B87835" w:rsidTr="00B87835">
        <w:trPr>
          <w:tblCellSpacing w:w="15" w:type="dxa"/>
        </w:trPr>
        <w:tc>
          <w:tcPr>
            <w:tcW w:w="7020" w:type="dxa"/>
            <w:gridSpan w:val="2"/>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Электростатический потенциал экрана видеомонитора</w:t>
            </w:r>
          </w:p>
        </w:tc>
        <w:tc>
          <w:tcPr>
            <w:tcW w:w="29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500 В</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Допустимые визуальные параметры устройств отображения информации</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Таблица 4</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718"/>
        <w:gridCol w:w="6205"/>
        <w:gridCol w:w="3142"/>
      </w:tblGrid>
      <w:tr w:rsidR="00B87835" w:rsidRPr="00B87835" w:rsidTr="00B87835">
        <w:trPr>
          <w:tblCellSpacing w:w="15" w:type="dxa"/>
        </w:trPr>
        <w:tc>
          <w:tcPr>
            <w:tcW w:w="675" w:type="dxa"/>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N</w:t>
            </w:r>
          </w:p>
        </w:tc>
        <w:tc>
          <w:tcPr>
            <w:tcW w:w="619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Параметры</w:t>
            </w:r>
          </w:p>
        </w:tc>
        <w:tc>
          <w:tcPr>
            <w:tcW w:w="310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Допустимые значения</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w:t>
            </w:r>
          </w:p>
        </w:tc>
        <w:tc>
          <w:tcPr>
            <w:tcW w:w="619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Яркость белого поля</w:t>
            </w:r>
          </w:p>
        </w:tc>
        <w:tc>
          <w:tcPr>
            <w:tcW w:w="31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менее 35 кд/кв.м</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w:t>
            </w:r>
          </w:p>
        </w:tc>
        <w:tc>
          <w:tcPr>
            <w:tcW w:w="619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Неравномерность яркости рабочего поля</w:t>
            </w:r>
          </w:p>
        </w:tc>
        <w:tc>
          <w:tcPr>
            <w:tcW w:w="31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более +-20%</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w:t>
            </w:r>
          </w:p>
        </w:tc>
        <w:tc>
          <w:tcPr>
            <w:tcW w:w="619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Контрастность (для монохромного режима)</w:t>
            </w:r>
          </w:p>
        </w:tc>
        <w:tc>
          <w:tcPr>
            <w:tcW w:w="31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менее 3:1</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w:t>
            </w:r>
          </w:p>
        </w:tc>
        <w:tc>
          <w:tcPr>
            <w:tcW w:w="619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Временная нестабильность изображения (непреднамеренное изменение во времени яркости изображения на экране дисплея)</w:t>
            </w:r>
          </w:p>
        </w:tc>
        <w:tc>
          <w:tcPr>
            <w:tcW w:w="31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должна фиксироваться</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w:t>
            </w:r>
          </w:p>
        </w:tc>
        <w:tc>
          <w:tcPr>
            <w:tcW w:w="619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Пространственная нестабильность изображения (непреднамеренные изменения положения фрагментов изображения на экране)</w:t>
            </w:r>
          </w:p>
        </w:tc>
        <w:tc>
          <w:tcPr>
            <w:tcW w:w="310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более 2 х 10(-4L), где L - проектное расстояние наблюдения, мм</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Приложение 2</w:t>
      </w:r>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к </w:t>
      </w:r>
      <w:hyperlink r:id="rId39" w:anchor="block_10000" w:history="1">
        <w:r w:rsidRPr="00B87835">
          <w:rPr>
            <w:rFonts w:ascii="Arial" w:eastAsia="Times New Roman" w:hAnsi="Arial" w:cs="Arial"/>
            <w:b/>
            <w:bCs/>
            <w:color w:val="008000"/>
            <w:sz w:val="18"/>
            <w:lang w:val="ru-RU" w:eastAsia="ru-RU" w:bidi="ar-SA"/>
          </w:rPr>
          <w:t>СанПиН 2.2.2/2.4.1340-03</w:t>
        </w:r>
      </w:hyperlink>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(обязательное)</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Временные допустимые уровни ЭМП, создаваемых ПЭВМ на рабочих местах</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Таблица 1</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2440"/>
        <w:gridCol w:w="4850"/>
        <w:gridCol w:w="2775"/>
      </w:tblGrid>
      <w:tr w:rsidR="00B87835" w:rsidRPr="00B87835" w:rsidTr="00B87835">
        <w:trPr>
          <w:tblCellSpacing w:w="15" w:type="dxa"/>
        </w:trPr>
        <w:tc>
          <w:tcPr>
            <w:tcW w:w="7260" w:type="dxa"/>
            <w:gridSpan w:val="2"/>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Наименование параметров</w:t>
            </w:r>
          </w:p>
        </w:tc>
        <w:tc>
          <w:tcPr>
            <w:tcW w:w="274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ВДУ</w:t>
            </w:r>
          </w:p>
        </w:tc>
      </w:tr>
      <w:tr w:rsidR="00B87835" w:rsidRPr="00B87835" w:rsidTr="00B87835">
        <w:trPr>
          <w:tblCellSpacing w:w="15" w:type="dxa"/>
        </w:trPr>
        <w:tc>
          <w:tcPr>
            <w:tcW w:w="2400" w:type="dxa"/>
            <w:vMerge w:val="restart"/>
            <w:tcBorders>
              <w:left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Напряженность электрического поля</w:t>
            </w:r>
          </w:p>
        </w:tc>
        <w:tc>
          <w:tcPr>
            <w:tcW w:w="484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5 Гц - 2 кГц</w:t>
            </w:r>
          </w:p>
        </w:tc>
        <w:tc>
          <w:tcPr>
            <w:tcW w:w="274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 В/м</w:t>
            </w:r>
          </w:p>
        </w:tc>
      </w:tr>
      <w:tr w:rsidR="00B87835" w:rsidRPr="00B87835" w:rsidTr="00B87835">
        <w:trPr>
          <w:tblCellSpacing w:w="15" w:type="dxa"/>
        </w:trPr>
        <w:tc>
          <w:tcPr>
            <w:tcW w:w="0" w:type="auto"/>
            <w:vMerge/>
            <w:tcBorders>
              <w:left w:val="single" w:sz="6" w:space="0" w:color="000000"/>
              <w:right w:val="single" w:sz="6" w:space="0" w:color="000000"/>
            </w:tcBorders>
            <w:vAlign w:val="center"/>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484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2 кГц - 400 кГц</w:t>
            </w:r>
          </w:p>
        </w:tc>
        <w:tc>
          <w:tcPr>
            <w:tcW w:w="274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 В/м</w:t>
            </w:r>
          </w:p>
        </w:tc>
      </w:tr>
      <w:tr w:rsidR="00B87835" w:rsidRPr="00B87835" w:rsidTr="00B87835">
        <w:trPr>
          <w:tblCellSpacing w:w="15" w:type="dxa"/>
        </w:trPr>
        <w:tc>
          <w:tcPr>
            <w:tcW w:w="2400" w:type="dxa"/>
            <w:vMerge w:val="restart"/>
            <w:tcBorders>
              <w:left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Плотность магнитного потока</w:t>
            </w:r>
          </w:p>
        </w:tc>
        <w:tc>
          <w:tcPr>
            <w:tcW w:w="484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5 Гц - 2 кГц</w:t>
            </w:r>
          </w:p>
        </w:tc>
        <w:tc>
          <w:tcPr>
            <w:tcW w:w="274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250 нТл</w:t>
            </w:r>
          </w:p>
        </w:tc>
      </w:tr>
      <w:tr w:rsidR="00B87835" w:rsidRPr="00B87835" w:rsidTr="00B87835">
        <w:trPr>
          <w:tblCellSpacing w:w="15" w:type="dxa"/>
        </w:trPr>
        <w:tc>
          <w:tcPr>
            <w:tcW w:w="0" w:type="auto"/>
            <w:vMerge/>
            <w:tcBorders>
              <w:left w:val="single" w:sz="6" w:space="0" w:color="000000"/>
              <w:right w:val="single" w:sz="6" w:space="0" w:color="000000"/>
            </w:tcBorders>
            <w:vAlign w:val="center"/>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484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 диапазоне частот 2 кГц - 400 кГц</w:t>
            </w:r>
          </w:p>
        </w:tc>
        <w:tc>
          <w:tcPr>
            <w:tcW w:w="274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 нТл</w:t>
            </w:r>
          </w:p>
        </w:tc>
      </w:tr>
      <w:tr w:rsidR="00B87835" w:rsidRPr="00B87835" w:rsidTr="00B87835">
        <w:trPr>
          <w:tblCellSpacing w:w="15" w:type="dxa"/>
        </w:trPr>
        <w:tc>
          <w:tcPr>
            <w:tcW w:w="7260" w:type="dxa"/>
            <w:gridSpan w:val="2"/>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Напряженность электростатического поля</w:t>
            </w:r>
          </w:p>
        </w:tc>
        <w:tc>
          <w:tcPr>
            <w:tcW w:w="274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15 кВ/м</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Оптимальные параметры микроклимата во всех типах учебных и дошкольных помещений с использованием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lastRenderedPageBreak/>
        <w:br/>
      </w: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Таблица 2</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2436"/>
        <w:gridCol w:w="2541"/>
        <w:gridCol w:w="2538"/>
        <w:gridCol w:w="2550"/>
      </w:tblGrid>
      <w:tr w:rsidR="00B87835" w:rsidRPr="00B87835" w:rsidTr="00B87835">
        <w:trPr>
          <w:tblCellSpacing w:w="15" w:type="dxa"/>
        </w:trPr>
        <w:tc>
          <w:tcPr>
            <w:tcW w:w="2400" w:type="dxa"/>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Температура, С°</w:t>
            </w:r>
          </w:p>
        </w:tc>
        <w:tc>
          <w:tcPr>
            <w:tcW w:w="2520"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Относительная влажность, %</w:t>
            </w:r>
          </w:p>
        </w:tc>
        <w:tc>
          <w:tcPr>
            <w:tcW w:w="2520"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Абсолютная влажность,</w:t>
            </w:r>
          </w:p>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г/м3</w:t>
            </w:r>
          </w:p>
        </w:tc>
        <w:tc>
          <w:tcPr>
            <w:tcW w:w="2520"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Скорость движения воздуха, м/с</w:t>
            </w:r>
          </w:p>
        </w:tc>
      </w:tr>
      <w:tr w:rsidR="00B87835" w:rsidRPr="00B87835" w:rsidTr="00B87835">
        <w:trPr>
          <w:tblCellSpacing w:w="15" w:type="dxa"/>
        </w:trPr>
        <w:tc>
          <w:tcPr>
            <w:tcW w:w="240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19</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62</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10</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&lt;0,1</w:t>
            </w:r>
          </w:p>
        </w:tc>
      </w:tr>
      <w:tr w:rsidR="00B87835" w:rsidRPr="00B87835" w:rsidTr="00B87835">
        <w:trPr>
          <w:tblCellSpacing w:w="15" w:type="dxa"/>
        </w:trPr>
        <w:tc>
          <w:tcPr>
            <w:tcW w:w="240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20</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58</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10</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&lt;0,1</w:t>
            </w:r>
          </w:p>
        </w:tc>
      </w:tr>
      <w:tr w:rsidR="00B87835" w:rsidRPr="00B87835" w:rsidTr="00B87835">
        <w:trPr>
          <w:tblCellSpacing w:w="15" w:type="dxa"/>
        </w:trPr>
        <w:tc>
          <w:tcPr>
            <w:tcW w:w="240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21</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55</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10</w:t>
            </w:r>
          </w:p>
        </w:tc>
        <w:tc>
          <w:tcPr>
            <w:tcW w:w="252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&lt;0,1</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Визуальные параметры ВДТ, контролируемые на рабочих местах</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Таблица 3</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718"/>
        <w:gridCol w:w="4891"/>
        <w:gridCol w:w="4456"/>
      </w:tblGrid>
      <w:tr w:rsidR="00B87835" w:rsidRPr="00B87835" w:rsidTr="00B87835">
        <w:trPr>
          <w:tblCellSpacing w:w="15" w:type="dxa"/>
        </w:trPr>
        <w:tc>
          <w:tcPr>
            <w:tcW w:w="675" w:type="dxa"/>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N</w:t>
            </w:r>
          </w:p>
        </w:tc>
        <w:tc>
          <w:tcPr>
            <w:tcW w:w="487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Параметры</w:t>
            </w:r>
          </w:p>
        </w:tc>
        <w:tc>
          <w:tcPr>
            <w:tcW w:w="442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Допустимые значения</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w:t>
            </w:r>
          </w:p>
        </w:tc>
        <w:tc>
          <w:tcPr>
            <w:tcW w:w="487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Яркость белого поля</w:t>
            </w:r>
          </w:p>
        </w:tc>
        <w:tc>
          <w:tcPr>
            <w:tcW w:w="442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менее 35 кд/кв.м</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w:t>
            </w:r>
          </w:p>
        </w:tc>
        <w:tc>
          <w:tcPr>
            <w:tcW w:w="487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Неравномерность яркости рабочего поля</w:t>
            </w:r>
          </w:p>
        </w:tc>
        <w:tc>
          <w:tcPr>
            <w:tcW w:w="442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более +-20%</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w:t>
            </w:r>
          </w:p>
        </w:tc>
        <w:tc>
          <w:tcPr>
            <w:tcW w:w="487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Контрастность (для монохромного режима)</w:t>
            </w:r>
          </w:p>
        </w:tc>
        <w:tc>
          <w:tcPr>
            <w:tcW w:w="442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менее 3:1</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w:t>
            </w:r>
          </w:p>
        </w:tc>
        <w:tc>
          <w:tcPr>
            <w:tcW w:w="487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Временная нестабильность изображения (мелькания)</w:t>
            </w:r>
          </w:p>
        </w:tc>
        <w:tc>
          <w:tcPr>
            <w:tcW w:w="442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должна фиксироваться</w:t>
            </w:r>
          </w:p>
        </w:tc>
      </w:tr>
      <w:tr w:rsidR="00B87835" w:rsidRPr="00B87835" w:rsidTr="00B87835">
        <w:trPr>
          <w:tblCellSpacing w:w="15" w:type="dxa"/>
        </w:trPr>
        <w:tc>
          <w:tcPr>
            <w:tcW w:w="6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w:t>
            </w:r>
          </w:p>
        </w:tc>
        <w:tc>
          <w:tcPr>
            <w:tcW w:w="487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Пространственная нестабильность изображения (дрожание)</w:t>
            </w:r>
          </w:p>
        </w:tc>
        <w:tc>
          <w:tcPr>
            <w:tcW w:w="442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Не более 2 х 10(-4L), где L - проектное расстояние наблюдения, мм</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Приложение 3</w:t>
      </w:r>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к </w:t>
      </w:r>
      <w:hyperlink r:id="rId40" w:anchor="block_10000" w:history="1">
        <w:r w:rsidRPr="00B87835">
          <w:rPr>
            <w:rFonts w:ascii="Arial" w:eastAsia="Times New Roman" w:hAnsi="Arial" w:cs="Arial"/>
            <w:b/>
            <w:bCs/>
            <w:color w:val="008000"/>
            <w:sz w:val="18"/>
            <w:lang w:val="ru-RU" w:eastAsia="ru-RU" w:bidi="ar-SA"/>
          </w:rPr>
          <w:t>СанПиН 2.2.2/2.4.1340-03</w:t>
        </w:r>
      </w:hyperlink>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(обязательное)</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Методика</w:t>
      </w:r>
      <w:r w:rsidRPr="00B87835">
        <w:rPr>
          <w:rFonts w:ascii="Arial" w:eastAsia="Times New Roman" w:hAnsi="Arial" w:cs="Arial"/>
          <w:b/>
          <w:bCs/>
          <w:color w:val="000080"/>
          <w:sz w:val="18"/>
          <w:szCs w:val="18"/>
          <w:lang w:val="ru-RU" w:eastAsia="ru-RU" w:bidi="ar-SA"/>
        </w:rPr>
        <w:br/>
        <w:t>инструментального контроля и гигиенической оценки уровней электромагнитных полей на рабочих местах</w:t>
      </w:r>
    </w:p>
    <w:p w:rsidR="00B87835" w:rsidRPr="00B87835" w:rsidRDefault="00B87835" w:rsidP="00B87835">
      <w:pPr>
        <w:shd w:val="clear" w:color="auto" w:fill="FFFFFF"/>
        <w:spacing w:after="0" w:line="240" w:lineRule="auto"/>
        <w:jc w:val="both"/>
        <w:outlineLvl w:val="3"/>
        <w:rPr>
          <w:rFonts w:ascii="Arial" w:eastAsia="Times New Roman" w:hAnsi="Arial" w:cs="Arial"/>
          <w:color w:val="000000"/>
          <w:sz w:val="24"/>
          <w:szCs w:val="24"/>
          <w:lang w:val="ru-RU" w:eastAsia="ru-RU" w:bidi="ar-SA"/>
        </w:rPr>
      </w:pPr>
      <w:r w:rsidRPr="00B87835">
        <w:rPr>
          <w:rFonts w:ascii="Arial" w:eastAsia="Times New Roman" w:hAnsi="Arial" w:cs="Arial"/>
          <w:color w:val="000000"/>
          <w:sz w:val="24"/>
          <w:szCs w:val="24"/>
          <w:lang w:val="ru-RU" w:eastAsia="ru-RU" w:bidi="ar-SA"/>
        </w:rPr>
        <w:t>С изменениями и дополнениями от:</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30 апреля 2010 г.</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1. Общие положения</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Информация об изменениях:</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41" w:anchor="block_1001" w:history="1">
        <w:r w:rsidRPr="00B87835">
          <w:rPr>
            <w:rFonts w:ascii="Arial" w:eastAsia="Times New Roman" w:hAnsi="Arial" w:cs="Arial"/>
            <w:i/>
            <w:iCs/>
            <w:color w:val="008000"/>
            <w:sz w:val="18"/>
            <w:lang w:val="ru-RU" w:eastAsia="ru-RU" w:bidi="ar-SA"/>
          </w:rPr>
          <w:t>Постановлением</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Главного государственного санитарного врача РФ от 30 апреля 2010 г. N 48 в пункт 1.1 настоящего приложения внесены изменения,</w:t>
      </w:r>
      <w:r w:rsidRPr="00B87835">
        <w:rPr>
          <w:rFonts w:ascii="Arial" w:eastAsia="Times New Roman" w:hAnsi="Arial" w:cs="Arial"/>
          <w:i/>
          <w:iCs/>
          <w:color w:val="800080"/>
          <w:sz w:val="18"/>
          <w:lang w:val="ru-RU" w:eastAsia="ru-RU" w:bidi="ar-SA"/>
        </w:rPr>
        <w:t> </w:t>
      </w:r>
      <w:hyperlink r:id="rId42" w:anchor="block_2" w:history="1">
        <w:r w:rsidRPr="00B87835">
          <w:rPr>
            <w:rFonts w:ascii="Arial" w:eastAsia="Times New Roman" w:hAnsi="Arial" w:cs="Arial"/>
            <w:i/>
            <w:iCs/>
            <w:color w:val="008000"/>
            <w:sz w:val="18"/>
            <w:lang w:val="ru-RU" w:eastAsia="ru-RU" w:bidi="ar-SA"/>
          </w:rPr>
          <w:t>вводящиеся в действие</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с момента</w:t>
      </w:r>
      <w:r w:rsidRPr="00B87835">
        <w:rPr>
          <w:rFonts w:ascii="Arial" w:eastAsia="Times New Roman" w:hAnsi="Arial" w:cs="Arial"/>
          <w:i/>
          <w:iCs/>
          <w:color w:val="800080"/>
          <w:sz w:val="18"/>
          <w:lang w:val="ru-RU" w:eastAsia="ru-RU" w:bidi="ar-SA"/>
        </w:rPr>
        <w:t> </w:t>
      </w:r>
      <w:hyperlink r:id="rId43" w:history="1">
        <w:r w:rsidRPr="00B87835">
          <w:rPr>
            <w:rFonts w:ascii="Arial" w:eastAsia="Times New Roman" w:hAnsi="Arial" w:cs="Arial"/>
            <w:i/>
            <w:iCs/>
            <w:color w:val="008000"/>
            <w:sz w:val="18"/>
            <w:lang w:val="ru-RU" w:eastAsia="ru-RU" w:bidi="ar-SA"/>
          </w:rPr>
          <w:t>официального опубликования</w:t>
        </w:r>
      </w:hyperlink>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44" w:anchor="block_3011" w:history="1">
        <w:r w:rsidRPr="00B87835">
          <w:rPr>
            <w:rFonts w:ascii="Arial" w:eastAsia="Times New Roman" w:hAnsi="Arial" w:cs="Arial"/>
            <w:i/>
            <w:iCs/>
            <w:color w:val="008000"/>
            <w:sz w:val="18"/>
            <w:lang w:val="ru-RU" w:eastAsia="ru-RU" w:bidi="ar-SA"/>
          </w:rPr>
          <w:t>См. текст пункта в предыдущей редакции</w:t>
        </w:r>
      </w:hyperlink>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1.1. Инструментальный контроль электромагнитной обстановки на рабочих местах пользователей ПЭВМ производится: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при вводе ПЭВМ в эксплуатацию и организации новых и реорганизации рабочих мест;</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после проведения организационно-технических мероприятий, направленных на нормализацию электромагнитной обстановки;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при аттестации рабочих мест по условиям труда;</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по заявкам предприятий и организаций;</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при проведении производственного контроля.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1.2. Инструментальный контроль осуществляется органами ГСЭН и (или) испытательными лабораториями (центрами), аккредитованными в установленном порядке.</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2. Требования к средствам измерений</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2.1. Инструментальный контроль уровней ЭМП должен осуществляться приборами с допускаемой основной относительной погрешностью измерений +-20%, включенными в Государственный реестр средств измерения и имеющими действующие свидетельства о прохождении Государственной поверки.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2.2. Следует отдавать предпочтение измерителям с изотропными антеннами-преобразователями.</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Информация об изменениях:</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45" w:anchor="block_1002" w:history="1">
        <w:r w:rsidRPr="00B87835">
          <w:rPr>
            <w:rFonts w:ascii="Arial" w:eastAsia="Times New Roman" w:hAnsi="Arial" w:cs="Arial"/>
            <w:i/>
            <w:iCs/>
            <w:color w:val="008000"/>
            <w:sz w:val="18"/>
            <w:lang w:val="ru-RU" w:eastAsia="ru-RU" w:bidi="ar-SA"/>
          </w:rPr>
          <w:t>Постановлением</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Главного государственного санитарного врача РФ от 30 апреля 2010 г. N 48 раздел 2 настоящего приложения дополнен пунктом 2.3,</w:t>
      </w:r>
      <w:r w:rsidRPr="00B87835">
        <w:rPr>
          <w:rFonts w:ascii="Arial" w:eastAsia="Times New Roman" w:hAnsi="Arial" w:cs="Arial"/>
          <w:i/>
          <w:iCs/>
          <w:color w:val="800080"/>
          <w:sz w:val="18"/>
          <w:lang w:val="ru-RU" w:eastAsia="ru-RU" w:bidi="ar-SA"/>
        </w:rPr>
        <w:t> </w:t>
      </w:r>
      <w:hyperlink r:id="rId46" w:anchor="block_2" w:history="1">
        <w:r w:rsidRPr="00B87835">
          <w:rPr>
            <w:rFonts w:ascii="Arial" w:eastAsia="Times New Roman" w:hAnsi="Arial" w:cs="Arial"/>
            <w:i/>
            <w:iCs/>
            <w:color w:val="008000"/>
            <w:sz w:val="18"/>
            <w:lang w:val="ru-RU" w:eastAsia="ru-RU" w:bidi="ar-SA"/>
          </w:rPr>
          <w:t>вводящимся в действие</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с момента</w:t>
      </w:r>
      <w:r w:rsidRPr="00B87835">
        <w:rPr>
          <w:rFonts w:ascii="Arial" w:eastAsia="Times New Roman" w:hAnsi="Arial" w:cs="Arial"/>
          <w:i/>
          <w:iCs/>
          <w:color w:val="800080"/>
          <w:sz w:val="18"/>
          <w:lang w:val="ru-RU" w:eastAsia="ru-RU" w:bidi="ar-SA"/>
        </w:rPr>
        <w:t> </w:t>
      </w:r>
      <w:hyperlink r:id="rId47" w:history="1">
        <w:r w:rsidRPr="00B87835">
          <w:rPr>
            <w:rFonts w:ascii="Arial" w:eastAsia="Times New Roman" w:hAnsi="Arial" w:cs="Arial"/>
            <w:i/>
            <w:iCs/>
            <w:color w:val="008000"/>
            <w:sz w:val="18"/>
            <w:lang w:val="ru-RU" w:eastAsia="ru-RU" w:bidi="ar-SA"/>
          </w:rPr>
          <w:t>официального опубликования</w:t>
        </w:r>
      </w:hyperlink>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2.3. При проведении инструментального контроля ЭМП от ПЭВМ в помещениях с высоким фоновым уровнем электрических (ЭП) и магнитных полей (МП) промышленной частоты (50 Гц), в которых уровни напряженности полей в диапазоне частот 5 Гц - 2 кГц превышает значения, приведенные в</w:t>
      </w:r>
      <w:r w:rsidRPr="00B87835">
        <w:rPr>
          <w:rFonts w:ascii="Arial" w:eastAsia="Times New Roman" w:hAnsi="Arial" w:cs="Arial"/>
          <w:color w:val="000000"/>
          <w:sz w:val="18"/>
          <w:lang w:val="ru-RU" w:eastAsia="ru-RU" w:bidi="ar-SA"/>
        </w:rPr>
        <w:t> </w:t>
      </w:r>
      <w:hyperlink r:id="rId48" w:anchor="block_2100" w:history="1">
        <w:r w:rsidRPr="00B87835">
          <w:rPr>
            <w:rFonts w:ascii="Arial" w:eastAsia="Times New Roman" w:hAnsi="Arial" w:cs="Arial"/>
            <w:color w:val="008000"/>
            <w:sz w:val="18"/>
            <w:lang w:val="ru-RU" w:eastAsia="ru-RU" w:bidi="ar-SA"/>
          </w:rPr>
          <w:t>таблице 1</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Приложения 2 к Правилам, рекомендуется использовать средство измерения (СИ), обеспечивающее возможность раздельного измерения ЭП и МП в полосе частот 45 Гц - 55 Гц и в диапазоне частот 5 Гц - 2 кГц с вырезанной полосой частот 45 Гц - 55 Гц.</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3. Подготовка к проведению инструментального контроля</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3.1. Составить план (эскиз) размещения рабочих мест пользователей ПЭВМ в помещении.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3.2. Занести в протокол сведения об оборудовании рабочего места - наименования устройств ПЭВМ, фирм-производителей, моделей и заводские (серийные) номера.</w:t>
      </w: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ГАРАНТ:</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Нумерация пунктов приводится в соответствии с источником</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3.4. Занести в протокол сведения о наличии санитарно-эпидемиологического заключения на ПЭВМ и приэкранные фильтры (при их наличии).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3.5. Установить на экране ВДТ типичное для данного вида работы изображение (текст, графики и др.).</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3.6. При проведении измерений должна быть включена вся вычислительная техника, ВДТ и другое используемое для работы электрооборудование, размещенное в данном помещении.</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3.7. Измерения параметров электростатического поля проводить не ранее чем через 20 минут после включения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4. Проведение измерений</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4.1. Измерение уровней переменных электрических и магнитных полей, статических электрических полей на рабочем месте, оборудованном ПЭВМ, производится на расстоянии 50 см от экрана на трех уровнях на высоте 0,5 м, 1,0 м и 1,5 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Информация об изменениях:</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49" w:anchor="block_1003" w:history="1">
        <w:r w:rsidRPr="00B87835">
          <w:rPr>
            <w:rFonts w:ascii="Arial" w:eastAsia="Times New Roman" w:hAnsi="Arial" w:cs="Arial"/>
            <w:i/>
            <w:iCs/>
            <w:color w:val="008000"/>
            <w:sz w:val="18"/>
            <w:lang w:val="ru-RU" w:eastAsia="ru-RU" w:bidi="ar-SA"/>
          </w:rPr>
          <w:t>Постановлением</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Главного государственного санитарного врача РФ от 30 апреля 2010 г. N 48 раздел 4 настоящего приложения дополнен пунктом 4.2,</w:t>
      </w:r>
      <w:r w:rsidRPr="00B87835">
        <w:rPr>
          <w:rFonts w:ascii="Arial" w:eastAsia="Times New Roman" w:hAnsi="Arial" w:cs="Arial"/>
          <w:i/>
          <w:iCs/>
          <w:color w:val="800080"/>
          <w:sz w:val="18"/>
          <w:lang w:val="ru-RU" w:eastAsia="ru-RU" w:bidi="ar-SA"/>
        </w:rPr>
        <w:t> </w:t>
      </w:r>
      <w:hyperlink r:id="rId50" w:anchor="block_2" w:history="1">
        <w:r w:rsidRPr="00B87835">
          <w:rPr>
            <w:rFonts w:ascii="Arial" w:eastAsia="Times New Roman" w:hAnsi="Arial" w:cs="Arial"/>
            <w:i/>
            <w:iCs/>
            <w:color w:val="008000"/>
            <w:sz w:val="18"/>
            <w:lang w:val="ru-RU" w:eastAsia="ru-RU" w:bidi="ar-SA"/>
          </w:rPr>
          <w:t>вводящимся в действие</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с момента</w:t>
      </w:r>
      <w:r w:rsidRPr="00B87835">
        <w:rPr>
          <w:rFonts w:ascii="Arial" w:eastAsia="Times New Roman" w:hAnsi="Arial" w:cs="Arial"/>
          <w:i/>
          <w:iCs/>
          <w:color w:val="800080"/>
          <w:sz w:val="18"/>
          <w:lang w:val="ru-RU" w:eastAsia="ru-RU" w:bidi="ar-SA"/>
        </w:rPr>
        <w:t> </w:t>
      </w:r>
      <w:hyperlink r:id="rId51" w:history="1">
        <w:r w:rsidRPr="00B87835">
          <w:rPr>
            <w:rFonts w:ascii="Arial" w:eastAsia="Times New Roman" w:hAnsi="Arial" w:cs="Arial"/>
            <w:i/>
            <w:iCs/>
            <w:color w:val="008000"/>
            <w:sz w:val="18"/>
            <w:lang w:val="ru-RU" w:eastAsia="ru-RU" w:bidi="ar-SA"/>
          </w:rPr>
          <w:t>официального опубликования</w:t>
        </w:r>
      </w:hyperlink>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4.2. Измерения ЭМП относится к прямым измерениям с многократными наблюдениями, и учет погрешности (неопределенности) измерений осуществляется в соответствии с действующими национальными стандартами. Для гигиенической оценки выбираются максимальные из измеренных на различных высотах средних значений.</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pacing w:after="0" w:line="240" w:lineRule="auto"/>
        <w:jc w:val="both"/>
        <w:outlineLvl w:val="3"/>
        <w:rPr>
          <w:rFonts w:ascii="Arial" w:eastAsia="Times New Roman" w:hAnsi="Arial" w:cs="Arial"/>
          <w:i/>
          <w:iCs/>
          <w:color w:val="800080"/>
          <w:sz w:val="18"/>
          <w:szCs w:val="18"/>
          <w:lang w:val="ru-RU" w:eastAsia="ru-RU" w:bidi="ar-SA"/>
        </w:rPr>
      </w:pPr>
      <w:r w:rsidRPr="00B87835">
        <w:rPr>
          <w:rFonts w:ascii="Arial" w:eastAsia="Times New Roman" w:hAnsi="Arial" w:cs="Arial"/>
          <w:i/>
          <w:iCs/>
          <w:color w:val="800080"/>
          <w:sz w:val="18"/>
          <w:szCs w:val="18"/>
          <w:lang w:val="ru-RU" w:eastAsia="ru-RU" w:bidi="ar-SA"/>
        </w:rPr>
        <w:t>Информация об изменениях:</w:t>
      </w:r>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52" w:anchor="block_1004" w:history="1">
        <w:r w:rsidRPr="00B87835">
          <w:rPr>
            <w:rFonts w:ascii="Arial" w:eastAsia="Times New Roman" w:hAnsi="Arial" w:cs="Arial"/>
            <w:i/>
            <w:iCs/>
            <w:color w:val="008000"/>
            <w:sz w:val="18"/>
            <w:lang w:val="ru-RU" w:eastAsia="ru-RU" w:bidi="ar-SA"/>
          </w:rPr>
          <w:t>Постановлением</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Главного государственного санитарного врача РФ от 30 апреля 2010 г. N 48 раздел 5 настоящего приложения изложен в новой редакции,</w:t>
      </w:r>
      <w:r w:rsidRPr="00B87835">
        <w:rPr>
          <w:rFonts w:ascii="Arial" w:eastAsia="Times New Roman" w:hAnsi="Arial" w:cs="Arial"/>
          <w:i/>
          <w:iCs/>
          <w:color w:val="800080"/>
          <w:sz w:val="18"/>
          <w:lang w:val="ru-RU" w:eastAsia="ru-RU" w:bidi="ar-SA"/>
        </w:rPr>
        <w:t> </w:t>
      </w:r>
      <w:hyperlink r:id="rId53" w:anchor="block_2" w:history="1">
        <w:r w:rsidRPr="00B87835">
          <w:rPr>
            <w:rFonts w:ascii="Arial" w:eastAsia="Times New Roman" w:hAnsi="Arial" w:cs="Arial"/>
            <w:i/>
            <w:iCs/>
            <w:color w:val="008000"/>
            <w:sz w:val="18"/>
            <w:lang w:val="ru-RU" w:eastAsia="ru-RU" w:bidi="ar-SA"/>
          </w:rPr>
          <w:t>вводящейся в действие</w:t>
        </w:r>
      </w:hyperlink>
      <w:r w:rsidRPr="00B87835">
        <w:rPr>
          <w:rFonts w:ascii="Arial" w:eastAsia="Times New Roman" w:hAnsi="Arial" w:cs="Arial"/>
          <w:i/>
          <w:iCs/>
          <w:color w:val="800080"/>
          <w:sz w:val="18"/>
          <w:lang w:val="ru-RU" w:eastAsia="ru-RU" w:bidi="ar-SA"/>
        </w:rPr>
        <w:t> </w:t>
      </w:r>
      <w:r w:rsidRPr="00B87835">
        <w:rPr>
          <w:rFonts w:ascii="Arial" w:eastAsia="Times New Roman" w:hAnsi="Arial" w:cs="Arial"/>
          <w:i/>
          <w:iCs/>
          <w:color w:val="800080"/>
          <w:sz w:val="18"/>
          <w:szCs w:val="18"/>
          <w:lang w:val="ru-RU" w:eastAsia="ru-RU" w:bidi="ar-SA"/>
        </w:rPr>
        <w:t>с момента</w:t>
      </w:r>
      <w:r w:rsidRPr="00B87835">
        <w:rPr>
          <w:rFonts w:ascii="Arial" w:eastAsia="Times New Roman" w:hAnsi="Arial" w:cs="Arial"/>
          <w:i/>
          <w:iCs/>
          <w:color w:val="800080"/>
          <w:sz w:val="18"/>
          <w:lang w:val="ru-RU" w:eastAsia="ru-RU" w:bidi="ar-SA"/>
        </w:rPr>
        <w:t> </w:t>
      </w:r>
      <w:hyperlink r:id="rId54" w:history="1">
        <w:r w:rsidRPr="00B87835">
          <w:rPr>
            <w:rFonts w:ascii="Arial" w:eastAsia="Times New Roman" w:hAnsi="Arial" w:cs="Arial"/>
            <w:i/>
            <w:iCs/>
            <w:color w:val="008000"/>
            <w:sz w:val="18"/>
            <w:lang w:val="ru-RU" w:eastAsia="ru-RU" w:bidi="ar-SA"/>
          </w:rPr>
          <w:t>официального опубликования</w:t>
        </w:r>
      </w:hyperlink>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hyperlink r:id="rId55" w:anchor="block_3500" w:history="1">
        <w:r w:rsidRPr="00B87835">
          <w:rPr>
            <w:rFonts w:ascii="Arial" w:eastAsia="Times New Roman" w:hAnsi="Arial" w:cs="Arial"/>
            <w:i/>
            <w:iCs/>
            <w:color w:val="008000"/>
            <w:sz w:val="18"/>
            <w:lang w:val="ru-RU" w:eastAsia="ru-RU" w:bidi="ar-SA"/>
          </w:rPr>
          <w:t>См. текст раздела в предыдущей редакции</w:t>
        </w:r>
      </w:hyperlink>
    </w:p>
    <w:p w:rsidR="00B87835" w:rsidRPr="00B87835" w:rsidRDefault="00B87835" w:rsidP="00B87835">
      <w:pPr>
        <w:shd w:val="clear" w:color="auto" w:fill="FFFFFF"/>
        <w:spacing w:after="0" w:line="240" w:lineRule="auto"/>
        <w:jc w:val="both"/>
        <w:rPr>
          <w:rFonts w:ascii="Arial" w:eastAsia="Times New Roman" w:hAnsi="Arial" w:cs="Arial"/>
          <w:i/>
          <w:iCs/>
          <w:color w:val="800080"/>
          <w:sz w:val="18"/>
          <w:szCs w:val="18"/>
          <w:lang w:val="ru-RU" w:eastAsia="ru-RU" w:bidi="ar-SA"/>
        </w:rPr>
      </w:pP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5. Гигиеническая оценка уровней ЭМП на рабочих местах</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5.1. Гигиеническая оценка воздействия электромагнитных полей различных частот должна производиться на соответствие нормативам (</w:t>
      </w:r>
      <w:hyperlink r:id="rId56" w:anchor="block_2100" w:history="1">
        <w:r w:rsidRPr="00B87835">
          <w:rPr>
            <w:rFonts w:ascii="Arial" w:eastAsia="Times New Roman" w:hAnsi="Arial" w:cs="Arial"/>
            <w:color w:val="008000"/>
            <w:sz w:val="18"/>
            <w:lang w:val="ru-RU" w:eastAsia="ru-RU" w:bidi="ar-SA"/>
          </w:rPr>
          <w:t>таблица 1</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Приложения 2) для соответствующего диапазона частот.</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5.2. Гигиеническая оценка уровней электромагнитных полей должна производиться с учетом погрешности</w:t>
      </w:r>
      <w:r w:rsidRPr="00B87835">
        <w:rPr>
          <w:rFonts w:ascii="Arial" w:eastAsia="Times New Roman" w:hAnsi="Arial" w:cs="Arial"/>
          <w:color w:val="000000"/>
          <w:sz w:val="18"/>
          <w:lang w:val="ru-RU" w:eastAsia="ru-RU" w:bidi="ar-SA"/>
        </w:rPr>
        <w:t> </w:t>
      </w:r>
      <w:hyperlink r:id="rId57" w:anchor="block_11000" w:history="1">
        <w:r w:rsidRPr="00B87835">
          <w:rPr>
            <w:rFonts w:ascii="Arial" w:eastAsia="Times New Roman" w:hAnsi="Arial" w:cs="Arial"/>
            <w:color w:val="008000"/>
            <w:sz w:val="18"/>
            <w:lang w:val="ru-RU" w:eastAsia="ru-RU" w:bidi="ar-SA"/>
          </w:rPr>
          <w:t>средства измерения</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(СИ). При этом с нормативным значением сравнивается результат измерения, к которому прибавлена абсолютная погрешность средства измерения.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5.3. При проведении инструментального контроля ЭМП от ВДТ ПЭВМ в помещениях с высоким уровнем фонового ЭМП промышленной частоты 50 Гц, в которых уровни ЭМП в диапазоне 5 Гц - 2 кГц превышают значения, приведенные в</w:t>
      </w:r>
      <w:r w:rsidRPr="00B87835">
        <w:rPr>
          <w:rFonts w:ascii="Arial" w:eastAsia="Times New Roman" w:hAnsi="Arial" w:cs="Arial"/>
          <w:color w:val="000000"/>
          <w:sz w:val="18"/>
          <w:lang w:val="ru-RU" w:eastAsia="ru-RU" w:bidi="ar-SA"/>
        </w:rPr>
        <w:t> </w:t>
      </w:r>
      <w:hyperlink r:id="rId58" w:anchor="block_2100" w:history="1">
        <w:r w:rsidRPr="00B87835">
          <w:rPr>
            <w:rFonts w:ascii="Arial" w:eastAsia="Times New Roman" w:hAnsi="Arial" w:cs="Arial"/>
            <w:color w:val="008000"/>
            <w:sz w:val="18"/>
            <w:lang w:val="ru-RU" w:eastAsia="ru-RU" w:bidi="ar-SA"/>
          </w:rPr>
          <w:t>таблице 1</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Приложении 2, измерения в этом диапазоне рекомендуется проводить СИ по</w:t>
      </w:r>
      <w:r w:rsidRPr="00B87835">
        <w:rPr>
          <w:rFonts w:ascii="Arial" w:eastAsia="Times New Roman" w:hAnsi="Arial" w:cs="Arial"/>
          <w:color w:val="000000"/>
          <w:sz w:val="18"/>
          <w:lang w:val="ru-RU" w:eastAsia="ru-RU" w:bidi="ar-SA"/>
        </w:rPr>
        <w:t> </w:t>
      </w:r>
      <w:hyperlink r:id="rId59" w:anchor="block_3023" w:history="1">
        <w:r w:rsidRPr="00B87835">
          <w:rPr>
            <w:rFonts w:ascii="Arial" w:eastAsia="Times New Roman" w:hAnsi="Arial" w:cs="Arial"/>
            <w:color w:val="008000"/>
            <w:sz w:val="18"/>
            <w:lang w:val="ru-RU" w:eastAsia="ru-RU" w:bidi="ar-SA"/>
          </w:rPr>
          <w:t>пункту 2.3</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настоящего Приложения 3 к Правилам. </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Уровни электрического и магнитного полей, на рабочих местах пользователей ПЭВМ следует считать допустимыми, если в полосе частот 45 Гц - 55 Гц они не превышают допустимых для населения: напряженности ЭП 500 В/м и индукции МП 5 мкТл, а в оставшейся части диапазона частот 5 Гц - 2 кГц, приведенных в</w:t>
      </w:r>
      <w:r w:rsidRPr="00B87835">
        <w:rPr>
          <w:rFonts w:ascii="Arial" w:eastAsia="Times New Roman" w:hAnsi="Arial" w:cs="Arial"/>
          <w:color w:val="000000"/>
          <w:sz w:val="18"/>
          <w:lang w:val="ru-RU" w:eastAsia="ru-RU" w:bidi="ar-SA"/>
        </w:rPr>
        <w:t> </w:t>
      </w:r>
      <w:hyperlink r:id="rId60" w:anchor="block_2100" w:history="1">
        <w:r w:rsidRPr="00B87835">
          <w:rPr>
            <w:rFonts w:ascii="Arial" w:eastAsia="Times New Roman" w:hAnsi="Arial" w:cs="Arial"/>
            <w:color w:val="008000"/>
            <w:sz w:val="18"/>
            <w:lang w:val="ru-RU" w:eastAsia="ru-RU" w:bidi="ar-SA"/>
          </w:rPr>
          <w:t>таблице 1</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Приложения 2 к Правилам.</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 xml:space="preserve">5.4. 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w:t>
      </w:r>
      <w:r w:rsidRPr="00B87835">
        <w:rPr>
          <w:rFonts w:ascii="Arial" w:eastAsia="Times New Roman" w:hAnsi="Arial" w:cs="Arial"/>
          <w:color w:val="000000"/>
          <w:sz w:val="18"/>
          <w:szCs w:val="18"/>
          <w:lang w:val="ru-RU" w:eastAsia="ru-RU" w:bidi="ar-SA"/>
        </w:rPr>
        <w:lastRenderedPageBreak/>
        <w:t>промышленной частоте 50 Гц в полосе шириной</w:t>
      </w:r>
      <w:r w:rsidRPr="00B87835">
        <w:rPr>
          <w:rFonts w:ascii="Arial" w:eastAsia="Times New Roman" w:hAnsi="Arial" w:cs="Arial"/>
          <w:color w:val="000000"/>
          <w:sz w:val="18"/>
          <w:lang w:val="ru-RU" w:eastAsia="ru-RU" w:bidi="ar-SA"/>
        </w:rPr>
        <w:t> </w:t>
      </w:r>
      <w:r>
        <w:rPr>
          <w:rFonts w:ascii="Arial" w:eastAsia="Times New Roman" w:hAnsi="Arial" w:cs="Arial"/>
          <w:noProof/>
          <w:color w:val="000000"/>
          <w:sz w:val="18"/>
          <w:szCs w:val="18"/>
          <w:lang w:val="ru-RU" w:eastAsia="ru-RU" w:bidi="ar-SA"/>
        </w:rPr>
        <w:drawing>
          <wp:inline distT="0" distB="0" distL="0" distR="0">
            <wp:extent cx="266065" cy="201930"/>
            <wp:effectExtent l="19050" t="0" r="635" b="0"/>
            <wp:docPr id="1" name="Рисунок 1" descr="http://base.garant.ru/files/base/4179328/121897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4179328/1218977781.png"/>
                    <pic:cNvPicPr>
                      <a:picLocks noChangeAspect="1" noChangeArrowheads="1"/>
                    </pic:cNvPicPr>
                  </pic:nvPicPr>
                  <pic:blipFill>
                    <a:blip r:embed="rId61" cstate="print"/>
                    <a:srcRect/>
                    <a:stretch>
                      <a:fillRect/>
                    </a:stretch>
                  </pic:blipFill>
                  <pic:spPr bwMode="auto">
                    <a:xfrm>
                      <a:off x="0" y="0"/>
                      <a:ext cx="266065" cy="201930"/>
                    </a:xfrm>
                    <a:prstGeom prst="rect">
                      <a:avLst/>
                    </a:prstGeom>
                    <a:noFill/>
                    <a:ln w="9525">
                      <a:noFill/>
                      <a:miter lim="800000"/>
                      <a:headEnd/>
                      <a:tailEnd/>
                    </a:ln>
                  </pic:spPr>
                </pic:pic>
              </a:graphicData>
            </a:graphic>
          </wp:inline>
        </w:drawing>
      </w:r>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Гц. В качестве уровней электрического и магнитного полей, создаваемых ПЭВМ, следует брать абсолютную разницу в показаниях этих приборов. Она не должна превышать значения, приведенного в</w:t>
      </w:r>
      <w:r w:rsidRPr="00B87835">
        <w:rPr>
          <w:rFonts w:ascii="Arial" w:eastAsia="Times New Roman" w:hAnsi="Arial" w:cs="Arial"/>
          <w:color w:val="000000"/>
          <w:sz w:val="18"/>
          <w:lang w:val="ru-RU" w:eastAsia="ru-RU" w:bidi="ar-SA"/>
        </w:rPr>
        <w:t> </w:t>
      </w:r>
      <w:hyperlink r:id="rId62" w:anchor="block_2100" w:history="1">
        <w:r w:rsidRPr="00B87835">
          <w:rPr>
            <w:rFonts w:ascii="Arial" w:eastAsia="Times New Roman" w:hAnsi="Arial" w:cs="Arial"/>
            <w:color w:val="008000"/>
            <w:sz w:val="18"/>
            <w:lang w:val="ru-RU" w:eastAsia="ru-RU" w:bidi="ar-SA"/>
          </w:rPr>
          <w:t>таблице 1</w:t>
        </w:r>
      </w:hyperlink>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Приложения 2 к Правилам. Поля промышленной частоты не должны превышать допустимых уровней для населения.</w:t>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t>Суммарная относительная погрешность обеих приборов не должна превышать указанной в</w:t>
      </w:r>
      <w:r w:rsidRPr="00B87835">
        <w:rPr>
          <w:rFonts w:ascii="Arial" w:eastAsia="Times New Roman" w:hAnsi="Arial" w:cs="Arial"/>
          <w:color w:val="000000"/>
          <w:sz w:val="18"/>
          <w:lang w:val="ru-RU" w:eastAsia="ru-RU" w:bidi="ar-SA"/>
        </w:rPr>
        <w:t> </w:t>
      </w:r>
      <w:hyperlink r:id="rId63" w:anchor="block_3021" w:history="1">
        <w:r w:rsidRPr="00B87835">
          <w:rPr>
            <w:rFonts w:ascii="Arial" w:eastAsia="Times New Roman" w:hAnsi="Arial" w:cs="Arial"/>
            <w:color w:val="008000"/>
            <w:sz w:val="18"/>
            <w:lang w:val="ru-RU" w:eastAsia="ru-RU" w:bidi="ar-SA"/>
          </w:rPr>
          <w:t>пункте 2.1</w:t>
        </w:r>
      </w:hyperlink>
      <w:r w:rsidRPr="00B87835">
        <w:rPr>
          <w:rFonts w:ascii="Arial" w:eastAsia="Times New Roman" w:hAnsi="Arial" w:cs="Arial"/>
          <w:color w:val="000000"/>
          <w:sz w:val="18"/>
          <w:szCs w:val="18"/>
          <w:lang w:val="ru-RU" w:eastAsia="ru-RU" w:bidi="ar-SA"/>
        </w:rPr>
        <w:t>. Приложения 3 к Правилам величины</w:t>
      </w:r>
      <w:r w:rsidRPr="00B87835">
        <w:rPr>
          <w:rFonts w:ascii="Arial" w:eastAsia="Times New Roman" w:hAnsi="Arial" w:cs="Arial"/>
          <w:color w:val="000000"/>
          <w:sz w:val="18"/>
          <w:lang w:val="ru-RU" w:eastAsia="ru-RU" w:bidi="ar-SA"/>
        </w:rPr>
        <w:t> </w:t>
      </w:r>
      <w:r>
        <w:rPr>
          <w:rFonts w:ascii="Arial" w:eastAsia="Times New Roman" w:hAnsi="Arial" w:cs="Arial"/>
          <w:noProof/>
          <w:color w:val="000000"/>
          <w:sz w:val="18"/>
          <w:szCs w:val="18"/>
          <w:lang w:val="ru-RU" w:eastAsia="ru-RU" w:bidi="ar-SA"/>
        </w:rPr>
        <w:drawing>
          <wp:inline distT="0" distB="0" distL="0" distR="0">
            <wp:extent cx="351155" cy="201930"/>
            <wp:effectExtent l="19050" t="0" r="0" b="0"/>
            <wp:docPr id="2" name="Рисунок 2" descr="http://base.garant.ru/files/base/4179328/3763733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4179328/3763733974.png"/>
                    <pic:cNvPicPr>
                      <a:picLocks noChangeAspect="1" noChangeArrowheads="1"/>
                    </pic:cNvPicPr>
                  </pic:nvPicPr>
                  <pic:blipFill>
                    <a:blip r:embed="rId64" cstate="print"/>
                    <a:srcRect/>
                    <a:stretch>
                      <a:fillRect/>
                    </a:stretch>
                  </pic:blipFill>
                  <pic:spPr bwMode="auto">
                    <a:xfrm>
                      <a:off x="0" y="0"/>
                      <a:ext cx="351155" cy="201930"/>
                    </a:xfrm>
                    <a:prstGeom prst="rect">
                      <a:avLst/>
                    </a:prstGeom>
                    <a:noFill/>
                    <a:ln w="9525">
                      <a:noFill/>
                      <a:miter lim="800000"/>
                      <a:headEnd/>
                      <a:tailEnd/>
                    </a:ln>
                  </pic:spPr>
                </pic:pic>
              </a:graphicData>
            </a:graphic>
          </wp:inline>
        </w:drawing>
      </w:r>
      <w:r w:rsidRPr="00B87835">
        <w:rPr>
          <w:rFonts w:ascii="Arial" w:eastAsia="Times New Roman" w:hAnsi="Arial" w:cs="Arial"/>
          <w:color w:val="000000"/>
          <w:sz w:val="18"/>
          <w:szCs w:val="18"/>
          <w:lang w:val="ru-RU" w:eastAsia="ru-RU" w:bidi="ar-SA"/>
        </w:rPr>
        <w:t>%.</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Приложение 4</w:t>
      </w:r>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к </w:t>
      </w:r>
      <w:hyperlink r:id="rId65" w:anchor="block_10000" w:history="1">
        <w:r w:rsidRPr="00B87835">
          <w:rPr>
            <w:rFonts w:ascii="Arial" w:eastAsia="Times New Roman" w:hAnsi="Arial" w:cs="Arial"/>
            <w:b/>
            <w:bCs/>
            <w:color w:val="008000"/>
            <w:sz w:val="18"/>
            <w:lang w:val="ru-RU" w:eastAsia="ru-RU" w:bidi="ar-SA"/>
          </w:rPr>
          <w:t>СанПиН 2.2.2/2.4.1340-03</w:t>
        </w:r>
      </w:hyperlink>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(обязательное)</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Высота одноместного стола для занятий с ПЭВМ</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3284"/>
        <w:gridCol w:w="3375"/>
        <w:gridCol w:w="3406"/>
      </w:tblGrid>
      <w:tr w:rsidR="00B87835" w:rsidRPr="00B87835" w:rsidTr="00B87835">
        <w:trPr>
          <w:tblCellSpacing w:w="15" w:type="dxa"/>
        </w:trPr>
        <w:tc>
          <w:tcPr>
            <w:tcW w:w="3255" w:type="dxa"/>
            <w:vMerge w:val="restart"/>
            <w:tcBorders>
              <w:top w:val="single" w:sz="6" w:space="0" w:color="000000"/>
              <w:left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Рост учащихся или студентов в обуви, см</w:t>
            </w:r>
          </w:p>
        </w:tc>
        <w:tc>
          <w:tcPr>
            <w:tcW w:w="6765" w:type="dxa"/>
            <w:gridSpan w:val="2"/>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над полом, мм</w:t>
            </w:r>
          </w:p>
        </w:tc>
      </w:tr>
      <w:tr w:rsidR="00B87835" w:rsidRPr="00B87835" w:rsidTr="00B87835">
        <w:trPr>
          <w:tblCellSpacing w:w="15" w:type="dxa"/>
        </w:trPr>
        <w:tc>
          <w:tcPr>
            <w:tcW w:w="0" w:type="auto"/>
            <w:vMerge/>
            <w:tcBorders>
              <w:top w:val="single" w:sz="6" w:space="0" w:color="000000"/>
              <w:left w:val="single" w:sz="6" w:space="0" w:color="000000"/>
              <w:right w:val="single" w:sz="6" w:space="0" w:color="000000"/>
            </w:tcBorders>
            <w:vAlign w:val="center"/>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336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поверхность стола</w:t>
            </w:r>
          </w:p>
        </w:tc>
        <w:tc>
          <w:tcPr>
            <w:tcW w:w="337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пространство для ног, не менее</w:t>
            </w:r>
          </w:p>
        </w:tc>
      </w:tr>
      <w:tr w:rsidR="00B87835" w:rsidRPr="00B87835" w:rsidTr="00B87835">
        <w:trPr>
          <w:tblCellSpacing w:w="15" w:type="dxa"/>
        </w:trPr>
        <w:tc>
          <w:tcPr>
            <w:tcW w:w="325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116-130</w:t>
            </w:r>
          </w:p>
        </w:tc>
        <w:tc>
          <w:tcPr>
            <w:tcW w:w="336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520</w:t>
            </w:r>
          </w:p>
        </w:tc>
        <w:tc>
          <w:tcPr>
            <w:tcW w:w="337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400</w:t>
            </w:r>
          </w:p>
        </w:tc>
      </w:tr>
      <w:tr w:rsidR="00B87835" w:rsidRPr="00B87835" w:rsidTr="00B87835">
        <w:trPr>
          <w:tblCellSpacing w:w="15" w:type="dxa"/>
        </w:trPr>
        <w:tc>
          <w:tcPr>
            <w:tcW w:w="325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131-145</w:t>
            </w:r>
          </w:p>
        </w:tc>
        <w:tc>
          <w:tcPr>
            <w:tcW w:w="336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580</w:t>
            </w:r>
          </w:p>
        </w:tc>
        <w:tc>
          <w:tcPr>
            <w:tcW w:w="337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520</w:t>
            </w:r>
          </w:p>
        </w:tc>
      </w:tr>
      <w:tr w:rsidR="00B87835" w:rsidRPr="00B87835" w:rsidTr="00B87835">
        <w:trPr>
          <w:tblCellSpacing w:w="15" w:type="dxa"/>
        </w:trPr>
        <w:tc>
          <w:tcPr>
            <w:tcW w:w="325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146-160</w:t>
            </w:r>
          </w:p>
        </w:tc>
        <w:tc>
          <w:tcPr>
            <w:tcW w:w="336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640</w:t>
            </w:r>
          </w:p>
        </w:tc>
        <w:tc>
          <w:tcPr>
            <w:tcW w:w="337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580</w:t>
            </w:r>
          </w:p>
        </w:tc>
      </w:tr>
      <w:tr w:rsidR="00B87835" w:rsidRPr="00B87835" w:rsidTr="00B87835">
        <w:trPr>
          <w:tblCellSpacing w:w="15" w:type="dxa"/>
        </w:trPr>
        <w:tc>
          <w:tcPr>
            <w:tcW w:w="325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161-175</w:t>
            </w:r>
          </w:p>
        </w:tc>
        <w:tc>
          <w:tcPr>
            <w:tcW w:w="336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700</w:t>
            </w:r>
          </w:p>
        </w:tc>
        <w:tc>
          <w:tcPr>
            <w:tcW w:w="337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640</w:t>
            </w:r>
          </w:p>
        </w:tc>
      </w:tr>
      <w:tr w:rsidR="00B87835" w:rsidRPr="00B87835" w:rsidTr="00B87835">
        <w:trPr>
          <w:tblCellSpacing w:w="15" w:type="dxa"/>
        </w:trPr>
        <w:tc>
          <w:tcPr>
            <w:tcW w:w="325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выше 175</w:t>
            </w:r>
          </w:p>
        </w:tc>
        <w:tc>
          <w:tcPr>
            <w:tcW w:w="3360"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760</w:t>
            </w:r>
          </w:p>
        </w:tc>
        <w:tc>
          <w:tcPr>
            <w:tcW w:w="337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700</w:t>
            </w: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ind w:firstLine="720"/>
        <w:jc w:val="both"/>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Примечание:</w:t>
      </w:r>
      <w:r w:rsidRPr="00B87835">
        <w:rPr>
          <w:rFonts w:ascii="Arial" w:eastAsia="Times New Roman" w:hAnsi="Arial" w:cs="Arial"/>
          <w:color w:val="000000"/>
          <w:sz w:val="18"/>
          <w:lang w:val="ru-RU" w:eastAsia="ru-RU" w:bidi="ar-SA"/>
        </w:rPr>
        <w:t> </w:t>
      </w:r>
      <w:r w:rsidRPr="00B87835">
        <w:rPr>
          <w:rFonts w:ascii="Arial" w:eastAsia="Times New Roman" w:hAnsi="Arial" w:cs="Arial"/>
          <w:color w:val="000000"/>
          <w:sz w:val="18"/>
          <w:szCs w:val="18"/>
          <w:lang w:val="ru-RU" w:eastAsia="ru-RU" w:bidi="ar-SA"/>
        </w:rPr>
        <w:t>ширина и глубина пространства для ног определяются конструкцией стола.</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t>Приложение 5</w:t>
      </w:r>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к </w:t>
      </w:r>
      <w:hyperlink r:id="rId66" w:anchor="block_10000" w:history="1">
        <w:r w:rsidRPr="00B87835">
          <w:rPr>
            <w:rFonts w:ascii="Arial" w:eastAsia="Times New Roman" w:hAnsi="Arial" w:cs="Arial"/>
            <w:b/>
            <w:bCs/>
            <w:color w:val="008000"/>
            <w:sz w:val="18"/>
            <w:lang w:val="ru-RU" w:eastAsia="ru-RU" w:bidi="ar-SA"/>
          </w:rPr>
          <w:t>СанПиН 2.2.2/2.4.1340-03</w:t>
        </w:r>
      </w:hyperlink>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(обязательное)</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Основные размеры стула для учащихся и студентов</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3105"/>
        <w:gridCol w:w="1389"/>
        <w:gridCol w:w="1389"/>
        <w:gridCol w:w="1389"/>
        <w:gridCol w:w="1389"/>
        <w:gridCol w:w="1404"/>
      </w:tblGrid>
      <w:tr w:rsidR="00B87835" w:rsidRPr="00B87835" w:rsidTr="00B87835">
        <w:trPr>
          <w:tblCellSpacing w:w="15" w:type="dxa"/>
        </w:trPr>
        <w:tc>
          <w:tcPr>
            <w:tcW w:w="3075" w:type="dxa"/>
            <w:vMerge w:val="restart"/>
            <w:tcBorders>
              <w:top w:val="single" w:sz="6" w:space="0" w:color="000000"/>
              <w:left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Параметры стула</w:t>
            </w:r>
          </w:p>
        </w:tc>
        <w:tc>
          <w:tcPr>
            <w:tcW w:w="6930" w:type="dxa"/>
            <w:gridSpan w:val="5"/>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Рост учащихся и студентов в обуви, см</w:t>
            </w:r>
          </w:p>
        </w:tc>
      </w:tr>
      <w:tr w:rsidR="00B87835" w:rsidRPr="00B87835" w:rsidTr="00B87835">
        <w:trPr>
          <w:tblCellSpacing w:w="15" w:type="dxa"/>
        </w:trPr>
        <w:tc>
          <w:tcPr>
            <w:tcW w:w="0" w:type="auto"/>
            <w:vMerge/>
            <w:tcBorders>
              <w:top w:val="single" w:sz="6" w:space="0" w:color="000000"/>
              <w:left w:val="single" w:sz="6" w:space="0" w:color="000000"/>
              <w:right w:val="single" w:sz="6" w:space="0" w:color="000000"/>
            </w:tcBorders>
            <w:vAlign w:val="center"/>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116-130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131-145</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146-160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161-175</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&gt;175</w:t>
            </w: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сиденья над полом,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300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340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380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420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460</w:t>
            </w: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Ширина сиденья, не менее,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270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290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320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340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360</w:t>
            </w: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Глубина сиденья,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290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330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360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380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400</w:t>
            </w: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нижнего края спинки над сиденьем,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130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150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160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170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190</w:t>
            </w: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верхнего края спинки над сиденьем,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280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310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330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360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400</w:t>
            </w: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линии прогиба спинки, не менее,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170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190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200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210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220</w:t>
            </w: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Радиус изгиба переднего края сиденья,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20-50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Угол наклона сиденья, °</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0-4</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Угол наклона спинки, °</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95-108</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r>
      <w:tr w:rsidR="00B87835" w:rsidRPr="00B87835" w:rsidTr="00B87835">
        <w:trPr>
          <w:tblCellSpacing w:w="15" w:type="dxa"/>
        </w:trPr>
        <w:tc>
          <w:tcPr>
            <w:tcW w:w="3075"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Радиус спинки в плане, не менее, мм</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300</w:t>
            </w: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c>
          <w:tcPr>
            <w:tcW w:w="1365" w:type="dxa"/>
            <w:tcBorders>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p>
        </w:tc>
      </w:tr>
    </w:tbl>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p w:rsidR="00B87835" w:rsidRPr="00B87835" w:rsidRDefault="00B87835" w:rsidP="00B87835">
      <w:pPr>
        <w:shd w:val="clear" w:color="auto" w:fill="FFFFFF"/>
        <w:spacing w:after="0" w:line="240" w:lineRule="auto"/>
        <w:jc w:val="right"/>
        <w:rPr>
          <w:rFonts w:ascii="Arial" w:eastAsia="Times New Roman" w:hAnsi="Arial" w:cs="Arial"/>
          <w:color w:val="000000"/>
          <w:sz w:val="18"/>
          <w:szCs w:val="18"/>
          <w:lang w:val="ru-RU" w:eastAsia="ru-RU" w:bidi="ar-SA"/>
        </w:rPr>
      </w:pPr>
      <w:r w:rsidRPr="00B87835">
        <w:rPr>
          <w:rFonts w:ascii="Arial" w:eastAsia="Times New Roman" w:hAnsi="Arial" w:cs="Arial"/>
          <w:b/>
          <w:bCs/>
          <w:color w:val="000080"/>
          <w:sz w:val="18"/>
          <w:lang w:val="ru-RU" w:eastAsia="ru-RU" w:bidi="ar-SA"/>
        </w:rPr>
        <w:lastRenderedPageBreak/>
        <w:t>Приложение 6</w:t>
      </w:r>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к </w:t>
      </w:r>
      <w:hyperlink r:id="rId67" w:anchor="block_10000" w:history="1">
        <w:r w:rsidRPr="00B87835">
          <w:rPr>
            <w:rFonts w:ascii="Arial" w:eastAsia="Times New Roman" w:hAnsi="Arial" w:cs="Arial"/>
            <w:b/>
            <w:bCs/>
            <w:color w:val="008000"/>
            <w:sz w:val="18"/>
            <w:lang w:val="ru-RU" w:eastAsia="ru-RU" w:bidi="ar-SA"/>
          </w:rPr>
          <w:t>СанПиН 2.2.2/2.4.1340-03</w:t>
        </w:r>
      </w:hyperlink>
      <w:r w:rsidRPr="00B87835">
        <w:rPr>
          <w:rFonts w:ascii="Arial" w:eastAsia="Times New Roman" w:hAnsi="Arial" w:cs="Arial"/>
          <w:b/>
          <w:bCs/>
          <w:color w:val="000080"/>
          <w:sz w:val="18"/>
          <w:szCs w:val="18"/>
          <w:lang w:val="ru-RU" w:eastAsia="ru-RU" w:bidi="ar-SA"/>
        </w:rPr>
        <w:br/>
      </w:r>
      <w:r w:rsidRPr="00B87835">
        <w:rPr>
          <w:rFonts w:ascii="Arial" w:eastAsia="Times New Roman" w:hAnsi="Arial" w:cs="Arial"/>
          <w:b/>
          <w:bCs/>
          <w:color w:val="000080"/>
          <w:sz w:val="18"/>
          <w:lang w:val="ru-RU" w:eastAsia="ru-RU" w:bidi="ar-SA"/>
        </w:rPr>
        <w:t>(обязательное)</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r w:rsidRPr="00B87835">
        <w:rPr>
          <w:rFonts w:ascii="Arial" w:eastAsia="Times New Roman" w:hAnsi="Arial" w:cs="Arial"/>
          <w:color w:val="000000"/>
          <w:sz w:val="18"/>
          <w:szCs w:val="18"/>
          <w:lang w:val="ru-RU" w:eastAsia="ru-RU" w:bidi="ar-SA"/>
        </w:rPr>
        <w:br/>
      </w:r>
    </w:p>
    <w:p w:rsidR="00B87835" w:rsidRPr="00B87835" w:rsidRDefault="00B87835" w:rsidP="00B87835">
      <w:pPr>
        <w:shd w:val="clear" w:color="auto" w:fill="FFFFFF"/>
        <w:spacing w:after="0" w:line="240" w:lineRule="auto"/>
        <w:jc w:val="center"/>
        <w:rPr>
          <w:rFonts w:ascii="Arial" w:eastAsia="Times New Roman" w:hAnsi="Arial" w:cs="Arial"/>
          <w:b/>
          <w:bCs/>
          <w:color w:val="000080"/>
          <w:sz w:val="18"/>
          <w:szCs w:val="18"/>
          <w:lang w:val="ru-RU" w:eastAsia="ru-RU" w:bidi="ar-SA"/>
        </w:rPr>
      </w:pPr>
      <w:r w:rsidRPr="00B87835">
        <w:rPr>
          <w:rFonts w:ascii="Arial" w:eastAsia="Times New Roman" w:hAnsi="Arial" w:cs="Arial"/>
          <w:b/>
          <w:bCs/>
          <w:color w:val="000080"/>
          <w:sz w:val="18"/>
          <w:szCs w:val="18"/>
          <w:lang w:val="ru-RU" w:eastAsia="ru-RU" w:bidi="ar-SA"/>
        </w:rPr>
        <w:t>Размеры стула для занятий с ПЭВМ детей дошкольного возраста</w:t>
      </w:r>
    </w:p>
    <w:p w:rsidR="00B87835" w:rsidRPr="00B87835" w:rsidRDefault="00B87835" w:rsidP="00B87835">
      <w:pPr>
        <w:shd w:val="clear" w:color="auto" w:fill="FFFFFF"/>
        <w:spacing w:after="0" w:line="240" w:lineRule="auto"/>
        <w:jc w:val="both"/>
        <w:rPr>
          <w:rFonts w:ascii="Arial" w:eastAsia="Times New Roman" w:hAnsi="Arial" w:cs="Arial"/>
          <w:color w:val="000000"/>
          <w:sz w:val="18"/>
          <w:szCs w:val="18"/>
          <w:lang w:val="ru-RU" w:eastAsia="ru-RU" w:bidi="ar-SA"/>
        </w:rPr>
      </w:pPr>
    </w:p>
    <w:tbl>
      <w:tblPr>
        <w:tblW w:w="10065" w:type="dxa"/>
        <w:tblCellSpacing w:w="15" w:type="dxa"/>
        <w:tblCellMar>
          <w:top w:w="15" w:type="dxa"/>
          <w:left w:w="15" w:type="dxa"/>
          <w:bottom w:w="15" w:type="dxa"/>
          <w:right w:w="15" w:type="dxa"/>
        </w:tblCellMar>
        <w:tblLook w:val="04A0"/>
      </w:tblPr>
      <w:tblGrid>
        <w:gridCol w:w="6445"/>
        <w:gridCol w:w="3620"/>
      </w:tblGrid>
      <w:tr w:rsidR="00B87835" w:rsidRPr="00B87835" w:rsidTr="00B87835">
        <w:trPr>
          <w:tblCellSpacing w:w="15" w:type="dxa"/>
        </w:trPr>
        <w:tc>
          <w:tcPr>
            <w:tcW w:w="6420" w:type="dxa"/>
            <w:tcBorders>
              <w:top w:val="single" w:sz="6" w:space="0" w:color="000000"/>
              <w:left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Параметры стула</w:t>
            </w:r>
          </w:p>
        </w:tc>
        <w:tc>
          <w:tcPr>
            <w:tcW w:w="3585" w:type="dxa"/>
            <w:tcBorders>
              <w:top w:val="single" w:sz="6" w:space="0" w:color="000000"/>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Размеры, не менее, мм</w:t>
            </w:r>
          </w:p>
        </w:tc>
      </w:tr>
      <w:tr w:rsidR="00B87835" w:rsidRPr="00B87835" w:rsidTr="00B87835">
        <w:trPr>
          <w:tblCellSpacing w:w="15" w:type="dxa"/>
        </w:trPr>
        <w:tc>
          <w:tcPr>
            <w:tcW w:w="642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сиденья над полом</w:t>
            </w:r>
          </w:p>
        </w:tc>
        <w:tc>
          <w:tcPr>
            <w:tcW w:w="35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260</w:t>
            </w:r>
          </w:p>
        </w:tc>
      </w:tr>
      <w:tr w:rsidR="00B87835" w:rsidRPr="00B87835" w:rsidTr="00B87835">
        <w:trPr>
          <w:tblCellSpacing w:w="15" w:type="dxa"/>
        </w:trPr>
        <w:tc>
          <w:tcPr>
            <w:tcW w:w="642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Ширина сиденья</w:t>
            </w:r>
          </w:p>
        </w:tc>
        <w:tc>
          <w:tcPr>
            <w:tcW w:w="35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250</w:t>
            </w:r>
          </w:p>
        </w:tc>
      </w:tr>
      <w:tr w:rsidR="00B87835" w:rsidRPr="00B87835" w:rsidTr="00B87835">
        <w:trPr>
          <w:tblCellSpacing w:w="15" w:type="dxa"/>
        </w:trPr>
        <w:tc>
          <w:tcPr>
            <w:tcW w:w="642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Глубина сиденья</w:t>
            </w:r>
          </w:p>
        </w:tc>
        <w:tc>
          <w:tcPr>
            <w:tcW w:w="35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260</w:t>
            </w:r>
          </w:p>
        </w:tc>
      </w:tr>
      <w:tr w:rsidR="00B87835" w:rsidRPr="00B87835" w:rsidTr="00B87835">
        <w:trPr>
          <w:tblCellSpacing w:w="15" w:type="dxa"/>
        </w:trPr>
        <w:tc>
          <w:tcPr>
            <w:tcW w:w="642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нижнего края спинки над сиденьем</w:t>
            </w:r>
          </w:p>
        </w:tc>
        <w:tc>
          <w:tcPr>
            <w:tcW w:w="35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120</w:t>
            </w:r>
          </w:p>
        </w:tc>
      </w:tr>
      <w:tr w:rsidR="00B87835" w:rsidRPr="00B87835" w:rsidTr="00B87835">
        <w:trPr>
          <w:tblCellSpacing w:w="15" w:type="dxa"/>
        </w:trPr>
        <w:tc>
          <w:tcPr>
            <w:tcW w:w="642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верхнего края спинки над сиденьем</w:t>
            </w:r>
          </w:p>
        </w:tc>
        <w:tc>
          <w:tcPr>
            <w:tcW w:w="35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250</w:t>
            </w:r>
          </w:p>
        </w:tc>
      </w:tr>
      <w:tr w:rsidR="00B87835" w:rsidRPr="00B87835" w:rsidTr="00B87835">
        <w:trPr>
          <w:tblCellSpacing w:w="15" w:type="dxa"/>
        </w:trPr>
        <w:tc>
          <w:tcPr>
            <w:tcW w:w="642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Высота прогиба спинки</w:t>
            </w:r>
          </w:p>
        </w:tc>
        <w:tc>
          <w:tcPr>
            <w:tcW w:w="35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160</w:t>
            </w:r>
          </w:p>
        </w:tc>
      </w:tr>
      <w:tr w:rsidR="00B87835" w:rsidRPr="00B87835" w:rsidTr="00B87835">
        <w:trPr>
          <w:tblCellSpacing w:w="15" w:type="dxa"/>
        </w:trPr>
        <w:tc>
          <w:tcPr>
            <w:tcW w:w="6420" w:type="dxa"/>
            <w:tcBorders>
              <w:left w:val="single" w:sz="6" w:space="0" w:color="000000"/>
              <w:bottom w:val="single" w:sz="6" w:space="0" w:color="000000"/>
              <w:right w:val="single" w:sz="6" w:space="0" w:color="000000"/>
            </w:tcBorders>
            <w:hideMark/>
          </w:tcPr>
          <w:p w:rsidR="00B87835" w:rsidRPr="00B87835" w:rsidRDefault="00B87835" w:rsidP="00B87835">
            <w:pPr>
              <w:spacing w:after="0" w:line="240" w:lineRule="auto"/>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Радиус изгиба переднего края сиденья</w:t>
            </w:r>
          </w:p>
        </w:tc>
        <w:tc>
          <w:tcPr>
            <w:tcW w:w="3585" w:type="dxa"/>
            <w:tcBorders>
              <w:bottom w:val="single" w:sz="6" w:space="0" w:color="000000"/>
              <w:right w:val="single" w:sz="6" w:space="0" w:color="000000"/>
            </w:tcBorders>
            <w:hideMark/>
          </w:tcPr>
          <w:p w:rsidR="00B87835" w:rsidRPr="00B87835" w:rsidRDefault="00B87835" w:rsidP="00B87835">
            <w:pPr>
              <w:spacing w:after="0" w:line="240" w:lineRule="auto"/>
              <w:jc w:val="center"/>
              <w:rPr>
                <w:rFonts w:ascii="Times New Roman" w:eastAsia="Times New Roman" w:hAnsi="Times New Roman" w:cs="Times New Roman"/>
                <w:sz w:val="24"/>
                <w:szCs w:val="24"/>
                <w:lang w:val="ru-RU" w:eastAsia="ru-RU" w:bidi="ar-SA"/>
              </w:rPr>
            </w:pPr>
            <w:r w:rsidRPr="00B87835">
              <w:rPr>
                <w:rFonts w:ascii="Times New Roman" w:eastAsia="Times New Roman" w:hAnsi="Times New Roman" w:cs="Times New Roman"/>
                <w:sz w:val="24"/>
                <w:szCs w:val="24"/>
                <w:lang w:val="ru-RU" w:eastAsia="ru-RU" w:bidi="ar-SA"/>
              </w:rPr>
              <w:t>20-50</w:t>
            </w:r>
          </w:p>
        </w:tc>
      </w:tr>
    </w:tbl>
    <w:p w:rsidR="00A5783A" w:rsidRDefault="00B87835">
      <w:r w:rsidRPr="00B87835">
        <w:rPr>
          <w:rFonts w:ascii="Arial" w:eastAsia="Times New Roman" w:hAnsi="Arial" w:cs="Arial"/>
          <w:color w:val="000000"/>
          <w:sz w:val="27"/>
          <w:szCs w:val="27"/>
          <w:lang w:val="ru-RU" w:eastAsia="ru-RU" w:bidi="ar-SA"/>
        </w:rPr>
        <w:br/>
      </w:r>
      <w:r w:rsidRPr="00B87835">
        <w:rPr>
          <w:rFonts w:ascii="Arial" w:eastAsia="Times New Roman" w:hAnsi="Arial" w:cs="Arial"/>
          <w:color w:val="000000"/>
          <w:sz w:val="27"/>
          <w:szCs w:val="27"/>
          <w:lang w:val="ru-RU" w:eastAsia="ru-RU" w:bidi="ar-SA"/>
        </w:rPr>
        <w:br/>
        <w:t>Система ГАРАНТ:</w:t>
      </w:r>
      <w:r w:rsidRPr="00B87835">
        <w:rPr>
          <w:rFonts w:ascii="Arial" w:eastAsia="Times New Roman" w:hAnsi="Arial" w:cs="Arial"/>
          <w:color w:val="000000"/>
          <w:sz w:val="27"/>
          <w:lang w:val="ru-RU" w:eastAsia="ru-RU" w:bidi="ar-SA"/>
        </w:rPr>
        <w:t> </w:t>
      </w:r>
      <w:hyperlink r:id="rId68" w:anchor="ixzz3jY90MXz6" w:history="1">
        <w:r w:rsidRPr="00B87835">
          <w:rPr>
            <w:rFonts w:ascii="Arial" w:eastAsia="Times New Roman" w:hAnsi="Arial" w:cs="Arial"/>
            <w:color w:val="003399"/>
            <w:sz w:val="27"/>
            <w:lang w:val="ru-RU" w:eastAsia="ru-RU" w:bidi="ar-SA"/>
          </w:rPr>
          <w:t>http://base.garant.ru/4179328/#ixzz3jY90MXz6</w:t>
        </w:r>
      </w:hyperlink>
    </w:p>
    <w:sectPr w:rsidR="00A5783A" w:rsidSect="00A57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87835"/>
    <w:rsid w:val="00647376"/>
    <w:rsid w:val="00A5783A"/>
    <w:rsid w:val="00B87835"/>
    <w:rsid w:val="00EB47E9"/>
    <w:rsid w:val="00F3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00"/>
  </w:style>
  <w:style w:type="paragraph" w:styleId="1">
    <w:name w:val="heading 1"/>
    <w:basedOn w:val="a"/>
    <w:next w:val="a"/>
    <w:link w:val="10"/>
    <w:uiPriority w:val="9"/>
    <w:qFormat/>
    <w:rsid w:val="00F36D00"/>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F36D00"/>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36D00"/>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F36D00"/>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36D00"/>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36D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36D00"/>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36D00"/>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36D00"/>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0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F36D0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36D00"/>
    <w:rPr>
      <w:rFonts w:asciiTheme="majorHAnsi" w:eastAsiaTheme="majorEastAsia" w:hAnsiTheme="majorHAnsi" w:cstheme="majorBidi"/>
      <w:b/>
      <w:bCs/>
    </w:rPr>
  </w:style>
  <w:style w:type="character" w:customStyle="1" w:styleId="40">
    <w:name w:val="Заголовок 4 Знак"/>
    <w:basedOn w:val="a0"/>
    <w:link w:val="4"/>
    <w:uiPriority w:val="9"/>
    <w:rsid w:val="00F36D0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36D0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36D0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36D0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36D0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36D00"/>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36D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36D00"/>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36D00"/>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36D00"/>
    <w:rPr>
      <w:rFonts w:asciiTheme="majorHAnsi" w:eastAsiaTheme="majorEastAsia" w:hAnsiTheme="majorHAnsi" w:cstheme="majorBidi"/>
      <w:i/>
      <w:iCs/>
      <w:spacing w:val="13"/>
      <w:sz w:val="24"/>
      <w:szCs w:val="24"/>
    </w:rPr>
  </w:style>
  <w:style w:type="character" w:styleId="a7">
    <w:name w:val="Strong"/>
    <w:uiPriority w:val="22"/>
    <w:qFormat/>
    <w:rsid w:val="00F36D00"/>
    <w:rPr>
      <w:b/>
      <w:bCs/>
    </w:rPr>
  </w:style>
  <w:style w:type="character" w:styleId="a8">
    <w:name w:val="Emphasis"/>
    <w:uiPriority w:val="20"/>
    <w:qFormat/>
    <w:rsid w:val="00F36D00"/>
    <w:rPr>
      <w:b/>
      <w:bCs/>
      <w:i/>
      <w:iCs/>
      <w:spacing w:val="10"/>
      <w:bdr w:val="none" w:sz="0" w:space="0" w:color="auto"/>
      <w:shd w:val="clear" w:color="auto" w:fill="auto"/>
    </w:rPr>
  </w:style>
  <w:style w:type="paragraph" w:styleId="a9">
    <w:name w:val="No Spacing"/>
    <w:basedOn w:val="a"/>
    <w:uiPriority w:val="1"/>
    <w:qFormat/>
    <w:rsid w:val="00F36D00"/>
    <w:pPr>
      <w:spacing w:after="0" w:line="240" w:lineRule="auto"/>
    </w:pPr>
  </w:style>
  <w:style w:type="paragraph" w:styleId="aa">
    <w:name w:val="List Paragraph"/>
    <w:basedOn w:val="a"/>
    <w:uiPriority w:val="34"/>
    <w:qFormat/>
    <w:rsid w:val="00F36D00"/>
    <w:pPr>
      <w:ind w:left="720"/>
      <w:contextualSpacing/>
    </w:pPr>
  </w:style>
  <w:style w:type="paragraph" w:styleId="21">
    <w:name w:val="Quote"/>
    <w:basedOn w:val="a"/>
    <w:next w:val="a"/>
    <w:link w:val="22"/>
    <w:uiPriority w:val="29"/>
    <w:qFormat/>
    <w:rsid w:val="00F36D00"/>
    <w:pPr>
      <w:spacing w:before="200" w:after="0"/>
      <w:ind w:left="360" w:right="360"/>
    </w:pPr>
    <w:rPr>
      <w:i/>
      <w:iCs/>
    </w:rPr>
  </w:style>
  <w:style w:type="character" w:customStyle="1" w:styleId="22">
    <w:name w:val="Цитата 2 Знак"/>
    <w:basedOn w:val="a0"/>
    <w:link w:val="21"/>
    <w:uiPriority w:val="29"/>
    <w:rsid w:val="00F36D00"/>
    <w:rPr>
      <w:i/>
      <w:iCs/>
    </w:rPr>
  </w:style>
  <w:style w:type="paragraph" w:styleId="ab">
    <w:name w:val="Intense Quote"/>
    <w:basedOn w:val="a"/>
    <w:next w:val="a"/>
    <w:link w:val="ac"/>
    <w:uiPriority w:val="30"/>
    <w:qFormat/>
    <w:rsid w:val="00F36D00"/>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36D00"/>
    <w:rPr>
      <w:b/>
      <w:bCs/>
      <w:i/>
      <w:iCs/>
    </w:rPr>
  </w:style>
  <w:style w:type="character" w:styleId="ad">
    <w:name w:val="Subtle Emphasis"/>
    <w:uiPriority w:val="19"/>
    <w:qFormat/>
    <w:rsid w:val="00F36D00"/>
    <w:rPr>
      <w:i/>
      <w:iCs/>
    </w:rPr>
  </w:style>
  <w:style w:type="character" w:styleId="ae">
    <w:name w:val="Intense Emphasis"/>
    <w:uiPriority w:val="21"/>
    <w:qFormat/>
    <w:rsid w:val="00F36D00"/>
    <w:rPr>
      <w:b/>
      <w:bCs/>
    </w:rPr>
  </w:style>
  <w:style w:type="character" w:styleId="af">
    <w:name w:val="Subtle Reference"/>
    <w:uiPriority w:val="31"/>
    <w:qFormat/>
    <w:rsid w:val="00F36D00"/>
    <w:rPr>
      <w:smallCaps/>
    </w:rPr>
  </w:style>
  <w:style w:type="character" w:styleId="af0">
    <w:name w:val="Intense Reference"/>
    <w:uiPriority w:val="32"/>
    <w:qFormat/>
    <w:rsid w:val="00F36D00"/>
    <w:rPr>
      <w:smallCaps/>
      <w:spacing w:val="5"/>
      <w:u w:val="single"/>
    </w:rPr>
  </w:style>
  <w:style w:type="character" w:styleId="af1">
    <w:name w:val="Book Title"/>
    <w:uiPriority w:val="33"/>
    <w:qFormat/>
    <w:rsid w:val="00F36D00"/>
    <w:rPr>
      <w:i/>
      <w:iCs/>
      <w:smallCaps/>
      <w:spacing w:val="5"/>
    </w:rPr>
  </w:style>
  <w:style w:type="paragraph" w:styleId="af2">
    <w:name w:val="TOC Heading"/>
    <w:basedOn w:val="1"/>
    <w:next w:val="a"/>
    <w:uiPriority w:val="39"/>
    <w:semiHidden/>
    <w:unhideWhenUsed/>
    <w:qFormat/>
    <w:rsid w:val="00F36D00"/>
    <w:pPr>
      <w:outlineLvl w:val="9"/>
    </w:pPr>
  </w:style>
  <w:style w:type="paragraph" w:customStyle="1" w:styleId="s3">
    <w:name w:val="s_3"/>
    <w:basedOn w:val="a"/>
    <w:rsid w:val="00B878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52">
    <w:name w:val="s_52"/>
    <w:basedOn w:val="a"/>
    <w:rsid w:val="00B878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1">
    <w:name w:val="s_1"/>
    <w:basedOn w:val="a"/>
    <w:rsid w:val="00B878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B87835"/>
  </w:style>
  <w:style w:type="character" w:styleId="af3">
    <w:name w:val="Hyperlink"/>
    <w:basedOn w:val="a0"/>
    <w:uiPriority w:val="99"/>
    <w:semiHidden/>
    <w:unhideWhenUsed/>
    <w:rsid w:val="00B87835"/>
    <w:rPr>
      <w:color w:val="0000FF"/>
      <w:u w:val="single"/>
    </w:rPr>
  </w:style>
  <w:style w:type="character" w:styleId="af4">
    <w:name w:val="FollowedHyperlink"/>
    <w:basedOn w:val="a0"/>
    <w:uiPriority w:val="99"/>
    <w:semiHidden/>
    <w:unhideWhenUsed/>
    <w:rsid w:val="00B87835"/>
    <w:rPr>
      <w:color w:val="800080"/>
      <w:u w:val="single"/>
    </w:rPr>
  </w:style>
  <w:style w:type="paragraph" w:customStyle="1" w:styleId="s16">
    <w:name w:val="s_16"/>
    <w:basedOn w:val="a"/>
    <w:rsid w:val="00B878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9">
    <w:name w:val="s_9"/>
    <w:basedOn w:val="a"/>
    <w:rsid w:val="00B878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0">
    <w:name w:val="s_10"/>
    <w:basedOn w:val="a0"/>
    <w:rsid w:val="00B87835"/>
  </w:style>
  <w:style w:type="character" w:customStyle="1" w:styleId="s91">
    <w:name w:val="s_91"/>
    <w:basedOn w:val="a0"/>
    <w:rsid w:val="00B87835"/>
  </w:style>
  <w:style w:type="paragraph" w:customStyle="1" w:styleId="s22">
    <w:name w:val="s_22"/>
    <w:basedOn w:val="a"/>
    <w:rsid w:val="00B8783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B8783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87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99150">
      <w:bodyDiv w:val="1"/>
      <w:marLeft w:val="0"/>
      <w:marRight w:val="0"/>
      <w:marTop w:val="0"/>
      <w:marBottom w:val="0"/>
      <w:divBdr>
        <w:top w:val="none" w:sz="0" w:space="0" w:color="auto"/>
        <w:left w:val="none" w:sz="0" w:space="0" w:color="auto"/>
        <w:bottom w:val="none" w:sz="0" w:space="0" w:color="auto"/>
        <w:right w:val="none" w:sz="0" w:space="0" w:color="auto"/>
      </w:divBdr>
      <w:divsChild>
        <w:div w:id="1096748077">
          <w:marLeft w:val="0"/>
          <w:marRight w:val="0"/>
          <w:marTop w:val="0"/>
          <w:marBottom w:val="0"/>
          <w:divBdr>
            <w:top w:val="none" w:sz="0" w:space="0" w:color="auto"/>
            <w:left w:val="none" w:sz="0" w:space="0" w:color="auto"/>
            <w:bottom w:val="none" w:sz="0" w:space="0" w:color="auto"/>
            <w:right w:val="none" w:sz="0" w:space="0" w:color="auto"/>
          </w:divBdr>
        </w:div>
        <w:div w:id="38602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ityadspix.com/tsclick-EBQRILTK-VRMIQUYF?url=http%3A%2F%2Fwww.enter.ru%2Freg%2F148110%2Fproduct%2Fdoityourself%2Fdeflektor-kapota-lexus-lx570-2080101024561&amp;sa=newkey&amp;sa1=&amp;sa2=&amp;sa3=&amp;sa4=&amp;sa5=&amp;bt=20&amp;pt=9&amp;lt=2&amp;tl=3&amp;im=Mjc3NS0wLTE0NDAyNDk2MTctMTc4MzQ5OTE%3D&amp;fid=NDQ5NTg1NDE1&amp;prdct=3b0a380d35063f0237&amp;kw=%D0%B8%20%D1%8D%D0%BA%D1%81%D0%BF%D0%BB%D1%83%D0%B0%D1%82%D0%B0%D1%86%D0%B8%D0%B8" TargetMode="External"/><Relationship Id="rId18" Type="http://schemas.openxmlformats.org/officeDocument/2006/relationships/hyperlink" Target="http://base.garant.ru/4179328/" TargetMode="External"/><Relationship Id="rId26" Type="http://schemas.openxmlformats.org/officeDocument/2006/relationships/hyperlink" Target="http://base.garant.ru/5757285/" TargetMode="External"/><Relationship Id="rId39" Type="http://schemas.openxmlformats.org/officeDocument/2006/relationships/hyperlink" Target="http://base.garant.ru/4179328/" TargetMode="External"/><Relationship Id="rId21" Type="http://schemas.openxmlformats.org/officeDocument/2006/relationships/hyperlink" Target="http://base.garant.ru/12153977/" TargetMode="External"/><Relationship Id="rId34" Type="http://schemas.openxmlformats.org/officeDocument/2006/relationships/hyperlink" Target="http://base.garant.ru/4179328/" TargetMode="External"/><Relationship Id="rId42" Type="http://schemas.openxmlformats.org/officeDocument/2006/relationships/hyperlink" Target="http://base.garant.ru/12176346/" TargetMode="External"/><Relationship Id="rId47" Type="http://schemas.openxmlformats.org/officeDocument/2006/relationships/hyperlink" Target="http://base.garant.ru/12276346/" TargetMode="External"/><Relationship Id="rId50" Type="http://schemas.openxmlformats.org/officeDocument/2006/relationships/hyperlink" Target="http://base.garant.ru/12176346/" TargetMode="External"/><Relationship Id="rId55" Type="http://schemas.openxmlformats.org/officeDocument/2006/relationships/hyperlink" Target="http://base.garant.ru/5757003/" TargetMode="External"/><Relationship Id="rId63" Type="http://schemas.openxmlformats.org/officeDocument/2006/relationships/hyperlink" Target="http://base.garant.ru/4179328/" TargetMode="External"/><Relationship Id="rId68" Type="http://schemas.openxmlformats.org/officeDocument/2006/relationships/hyperlink" Target="http://base.garant.ru/4179328/" TargetMode="External"/><Relationship Id="rId7" Type="http://schemas.openxmlformats.org/officeDocument/2006/relationships/hyperlink" Target="http://base.garant.ru/4179328/" TargetMode="External"/><Relationship Id="rId2" Type="http://schemas.openxmlformats.org/officeDocument/2006/relationships/settings" Target="settings.xml"/><Relationship Id="rId16" Type="http://schemas.openxmlformats.org/officeDocument/2006/relationships/hyperlink" Target="http://base.garant.ru/4179328/" TargetMode="External"/><Relationship Id="rId29" Type="http://schemas.openxmlformats.org/officeDocument/2006/relationships/hyperlink" Target="http://base.garant.ru/4179328/" TargetMode="External"/><Relationship Id="rId1" Type="http://schemas.openxmlformats.org/officeDocument/2006/relationships/styles" Target="styles.xml"/><Relationship Id="rId6" Type="http://schemas.openxmlformats.org/officeDocument/2006/relationships/hyperlink" Target="http://base.garant.ru/12120314/" TargetMode="External"/><Relationship Id="rId11" Type="http://schemas.openxmlformats.org/officeDocument/2006/relationships/hyperlink" Target="http://base.garant.ru/12120314/" TargetMode="External"/><Relationship Id="rId24" Type="http://schemas.openxmlformats.org/officeDocument/2006/relationships/hyperlink" Target="http://base.garant.ru/4179328/" TargetMode="External"/><Relationship Id="rId32" Type="http://schemas.openxmlformats.org/officeDocument/2006/relationships/hyperlink" Target="http://base.garant.ru/4179328/" TargetMode="External"/><Relationship Id="rId37" Type="http://schemas.openxmlformats.org/officeDocument/2006/relationships/hyperlink" Target="http://base.garant.ru/4179328/" TargetMode="External"/><Relationship Id="rId40" Type="http://schemas.openxmlformats.org/officeDocument/2006/relationships/hyperlink" Target="http://base.garant.ru/4179328/" TargetMode="External"/><Relationship Id="rId45" Type="http://schemas.openxmlformats.org/officeDocument/2006/relationships/hyperlink" Target="http://base.garant.ru/12176346/" TargetMode="External"/><Relationship Id="rId53" Type="http://schemas.openxmlformats.org/officeDocument/2006/relationships/hyperlink" Target="http://base.garant.ru/12176346/" TargetMode="External"/><Relationship Id="rId58" Type="http://schemas.openxmlformats.org/officeDocument/2006/relationships/hyperlink" Target="http://base.garant.ru/4179328/" TargetMode="External"/><Relationship Id="rId66" Type="http://schemas.openxmlformats.org/officeDocument/2006/relationships/hyperlink" Target="http://base.garant.ru/4179328/" TargetMode="External"/><Relationship Id="rId5" Type="http://schemas.openxmlformats.org/officeDocument/2006/relationships/hyperlink" Target="http://base.garant.ru/12120314/" TargetMode="External"/><Relationship Id="rId15" Type="http://schemas.openxmlformats.org/officeDocument/2006/relationships/hyperlink" Target="http://base.garant.ru/4179328/" TargetMode="External"/><Relationship Id="rId23" Type="http://schemas.openxmlformats.org/officeDocument/2006/relationships/hyperlink" Target="http://cityadspix.com/tsclick-EBQRILTK-VRMIQUYF?url=http%3A%2F%2Fwww.enter.ru%2Freg%2F148110%2Fproduct%2Fdoityourself%2Fdeflektor-kapota-lexus-lx570-2080101024561&amp;sa=newkey&amp;sa1=&amp;sa2=&amp;sa3=&amp;sa4=&amp;sa5=&amp;bt=20&amp;pt=9&amp;lt=2&amp;tl=3&amp;im=Mjc3NS0wLTE0NDAyNDk2MTctMTIwMjEwMTY%3D&amp;fid=NDQ5NTg1NDE1&amp;prdct=3b0a380d35063f0237&amp;kw=%D0%BF%D0%BE%20%D1%8D%D0%BA%D1%81%D0%BF%D0%BB%D1%83%D0%B0%D1%82%D0%B0%D1%86%D0%B8%D0%B8." TargetMode="External"/><Relationship Id="rId28" Type="http://schemas.openxmlformats.org/officeDocument/2006/relationships/hyperlink" Target="http://base.garant.ru/5757285/" TargetMode="External"/><Relationship Id="rId36" Type="http://schemas.openxmlformats.org/officeDocument/2006/relationships/hyperlink" Target="http://base.garant.ru/4179328/" TargetMode="External"/><Relationship Id="rId49" Type="http://schemas.openxmlformats.org/officeDocument/2006/relationships/hyperlink" Target="http://base.garant.ru/12176346/" TargetMode="External"/><Relationship Id="rId57" Type="http://schemas.openxmlformats.org/officeDocument/2006/relationships/hyperlink" Target="http://base.garant.ru/12176346/" TargetMode="External"/><Relationship Id="rId61" Type="http://schemas.openxmlformats.org/officeDocument/2006/relationships/image" Target="media/image1.png"/><Relationship Id="rId10" Type="http://schemas.openxmlformats.org/officeDocument/2006/relationships/hyperlink" Target="http://base.garant.ru/3100000/" TargetMode="External"/><Relationship Id="rId19" Type="http://schemas.openxmlformats.org/officeDocument/2006/relationships/hyperlink" Target="http://base.garant.ru/12153977/" TargetMode="External"/><Relationship Id="rId31" Type="http://schemas.openxmlformats.org/officeDocument/2006/relationships/hyperlink" Target="http://base.garant.ru/4179328/" TargetMode="External"/><Relationship Id="rId44" Type="http://schemas.openxmlformats.org/officeDocument/2006/relationships/hyperlink" Target="http://base.garant.ru/5757003/" TargetMode="External"/><Relationship Id="rId52" Type="http://schemas.openxmlformats.org/officeDocument/2006/relationships/hyperlink" Target="http://base.garant.ru/12176346/" TargetMode="External"/><Relationship Id="rId60" Type="http://schemas.openxmlformats.org/officeDocument/2006/relationships/hyperlink" Target="http://base.garant.ru/4179328/" TargetMode="External"/><Relationship Id="rId65" Type="http://schemas.openxmlformats.org/officeDocument/2006/relationships/hyperlink" Target="http://base.garant.ru/4179328/" TargetMode="External"/><Relationship Id="rId4" Type="http://schemas.openxmlformats.org/officeDocument/2006/relationships/hyperlink" Target="http://base.garant.ru/12115118/" TargetMode="External"/><Relationship Id="rId9" Type="http://schemas.openxmlformats.org/officeDocument/2006/relationships/hyperlink" Target="http://base.garant.ru/12115118/" TargetMode="External"/><Relationship Id="rId14" Type="http://schemas.openxmlformats.org/officeDocument/2006/relationships/hyperlink" Target="http://cityadspix.com/tsclick-EBQRILTK-VRMIQUYF?url=http%3A%2F%2Fwww.enter.ru%2Freg%2F148110%2Fproduct%2Fdoityourself%2Fdeflektor-kapota-lexus-lx570-2080101024561&amp;sa=newkey&amp;sa1=&amp;sa2=&amp;sa3=&amp;sa4=&amp;sa5=&amp;bt=20&amp;pt=9&amp;lt=2&amp;tl=3&amp;sa=newkey&amp;sa1=&amp;sa2=&amp;sa3=&amp;sa4=&amp;sa5=&amp;im=Mjc3NS0wLTE0NDAyNDk2MTctMTQzNTE0OTA%3D&amp;fid=NDQ5NTg1NDE1&amp;prdct=3b0a380d35063f0237&amp;kw=%D0%B8%20%D1%8D%D0%BA%D1%81%D0%BF%D0%BB%D1%83%D0%B0%D1%82%D0%B0%D1%86%D0%B8%D0%B8" TargetMode="External"/><Relationship Id="rId22" Type="http://schemas.openxmlformats.org/officeDocument/2006/relationships/hyperlink" Target="http://base.garant.ru/5227078/" TargetMode="External"/><Relationship Id="rId27" Type="http://schemas.openxmlformats.org/officeDocument/2006/relationships/hyperlink" Target="http://base.garant.ru/12179667/" TargetMode="External"/><Relationship Id="rId30" Type="http://schemas.openxmlformats.org/officeDocument/2006/relationships/hyperlink" Target="http://base.garant.ru/4179328/" TargetMode="External"/><Relationship Id="rId35" Type="http://schemas.openxmlformats.org/officeDocument/2006/relationships/hyperlink" Target="http://base.garant.ru/4179328/" TargetMode="External"/><Relationship Id="rId43" Type="http://schemas.openxmlformats.org/officeDocument/2006/relationships/hyperlink" Target="http://base.garant.ru/12276346/" TargetMode="External"/><Relationship Id="rId48" Type="http://schemas.openxmlformats.org/officeDocument/2006/relationships/hyperlink" Target="http://base.garant.ru/4179328/" TargetMode="External"/><Relationship Id="rId56" Type="http://schemas.openxmlformats.org/officeDocument/2006/relationships/hyperlink" Target="http://base.garant.ru/4179328/" TargetMode="External"/><Relationship Id="rId64" Type="http://schemas.openxmlformats.org/officeDocument/2006/relationships/image" Target="media/image2.png"/><Relationship Id="rId69" Type="http://schemas.openxmlformats.org/officeDocument/2006/relationships/fontTable" Target="fontTable.xml"/><Relationship Id="rId8" Type="http://schemas.openxmlformats.org/officeDocument/2006/relationships/hyperlink" Target="http://base.garant.ru/4179328/" TargetMode="External"/><Relationship Id="rId51" Type="http://schemas.openxmlformats.org/officeDocument/2006/relationships/hyperlink" Target="http://base.garant.ru/12276346/" TargetMode="External"/><Relationship Id="rId3" Type="http://schemas.openxmlformats.org/officeDocument/2006/relationships/webSettings" Target="webSettings.xml"/><Relationship Id="rId12" Type="http://schemas.openxmlformats.org/officeDocument/2006/relationships/hyperlink" Target="http://base.garant.ru/12120314/" TargetMode="External"/><Relationship Id="rId17" Type="http://schemas.openxmlformats.org/officeDocument/2006/relationships/hyperlink" Target="http://base.garant.ru/4179328/" TargetMode="External"/><Relationship Id="rId25" Type="http://schemas.openxmlformats.org/officeDocument/2006/relationships/hyperlink" Target="http://base.garant.ru/12179667/" TargetMode="External"/><Relationship Id="rId33" Type="http://schemas.openxmlformats.org/officeDocument/2006/relationships/hyperlink" Target="http://base.garant.ru/4179328/" TargetMode="External"/><Relationship Id="rId38" Type="http://schemas.openxmlformats.org/officeDocument/2006/relationships/hyperlink" Target="http://base.garant.ru/4179328/" TargetMode="External"/><Relationship Id="rId46" Type="http://schemas.openxmlformats.org/officeDocument/2006/relationships/hyperlink" Target="http://base.garant.ru/12176346/" TargetMode="External"/><Relationship Id="rId59" Type="http://schemas.openxmlformats.org/officeDocument/2006/relationships/hyperlink" Target="http://base.garant.ru/4179328/" TargetMode="External"/><Relationship Id="rId67" Type="http://schemas.openxmlformats.org/officeDocument/2006/relationships/hyperlink" Target="http://base.garant.ru/4179328/" TargetMode="External"/><Relationship Id="rId20" Type="http://schemas.openxmlformats.org/officeDocument/2006/relationships/hyperlink" Target="http://base.garant.ru/12153977/" TargetMode="External"/><Relationship Id="rId41" Type="http://schemas.openxmlformats.org/officeDocument/2006/relationships/hyperlink" Target="http://base.garant.ru/12176346/" TargetMode="External"/><Relationship Id="rId54" Type="http://schemas.openxmlformats.org/officeDocument/2006/relationships/hyperlink" Target="http://base.garant.ru/12276346/" TargetMode="External"/><Relationship Id="rId62" Type="http://schemas.openxmlformats.org/officeDocument/2006/relationships/hyperlink" Target="http://base.garant.ru/4179328/"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6496</Words>
  <Characters>37031</Characters>
  <Application>Microsoft Office Word</Application>
  <DocSecurity>0</DocSecurity>
  <Lines>308</Lines>
  <Paragraphs>86</Paragraphs>
  <ScaleCrop>false</ScaleCrop>
  <Company>Microsoft</Company>
  <LinksUpToDate>false</LinksUpToDate>
  <CharactersWithSpaces>43441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2015-08-22T13:20:00Z</dcterms:created>
  <dcterms:modified xsi:type="dcterms:W3CDTF">2015-08-22T13:20:00Z</dcterms:modified>
</cp:coreProperties>
</file>